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pPr w:leftFromText="180" w:rightFromText="180" w:vertAnchor="text" w:horzAnchor="page" w:tblpX="5903" w:tblpY="-577"/>
        <w:tblW w:w="0" w:type="auto"/>
        <w:tblLook w:val="04A0" w:firstRow="1" w:lastRow="0" w:firstColumn="1" w:lastColumn="0" w:noHBand="0" w:noVBand="1"/>
      </w:tblPr>
      <w:tblGrid>
        <w:gridCol w:w="5280"/>
      </w:tblGrid>
      <w:tr w:rsidR="00B92D0F" w14:paraId="18F9E16A" w14:textId="77777777" w:rsidTr="00B92D0F">
        <w:trPr>
          <w:trHeight w:val="1408"/>
        </w:trPr>
        <w:tc>
          <w:tcPr>
            <w:tcW w:w="5280" w:type="dxa"/>
            <w:tcBorders>
              <w:top w:val="nil"/>
              <w:left w:val="nil"/>
              <w:bottom w:val="nil"/>
              <w:right w:val="nil"/>
            </w:tcBorders>
          </w:tcPr>
          <w:p w14:paraId="2E589FDE" w14:textId="77777777" w:rsidR="00B92D0F" w:rsidRDefault="00B92D0F" w:rsidP="00B92D0F">
            <w:pPr>
              <w:contextualSpacing/>
              <w:rPr>
                <w:rFonts w:ascii="PDF417x" w:hAnsi="PDF417x"/>
                <w:sz w:val="24"/>
                <w:szCs w:val="24"/>
              </w:rPr>
            </w:pPr>
            <w:bookmarkStart w:id="0" w:name="_Hlk107255613"/>
            <w:r>
              <w:rPr>
                <w:rFonts w:ascii="PDF417x" w:hAnsi="PDF417x"/>
                <w:sz w:val="24"/>
                <w:szCs w:val="24"/>
              </w:rPr>
              <w:t>+*xfs*pvs*Akl*cvA*xBj*gwg*nck*ucw*mhs*cFA*pBk*-</w:t>
            </w:r>
            <w:r>
              <w:rPr>
                <w:rFonts w:ascii="PDF417x" w:hAnsi="PDF417x"/>
                <w:sz w:val="24"/>
                <w:szCs w:val="24"/>
              </w:rPr>
              <w:br/>
              <w:t>+*yqw*mwB*uzj*mzi*ugc*dzi*lro*rdz*Bbo*xCc*zew*-</w:t>
            </w:r>
            <w:r>
              <w:rPr>
                <w:rFonts w:ascii="PDF417x" w:hAnsi="PDF417x"/>
                <w:sz w:val="24"/>
                <w:szCs w:val="24"/>
              </w:rPr>
              <w:br/>
              <w:t>+*eDs*oly*lyd*lyd*lyd*rtC*jqk*chy*Daj*gaj*zfE*-</w:t>
            </w:r>
            <w:r>
              <w:rPr>
                <w:rFonts w:ascii="PDF417x" w:hAnsi="PDF417x"/>
                <w:sz w:val="24"/>
                <w:szCs w:val="24"/>
              </w:rPr>
              <w:br/>
              <w:t>+*ftw*swv*yxb*Cyy*owj*lBD*ocs*koD*lEs*Alq*onA*-</w:t>
            </w:r>
            <w:r>
              <w:rPr>
                <w:rFonts w:ascii="PDF417x" w:hAnsi="PDF417x"/>
                <w:sz w:val="24"/>
                <w:szCs w:val="24"/>
              </w:rPr>
              <w:br/>
              <w:t>+*ftA*jta*wcv*sCu*ptA*roz*yCf*viC*lDl*viE*uws*-</w:t>
            </w:r>
            <w:r>
              <w:rPr>
                <w:rFonts w:ascii="PDF417x" w:hAnsi="PDF417x"/>
                <w:sz w:val="24"/>
                <w:szCs w:val="24"/>
              </w:rPr>
              <w:br/>
              <w:t>+*xjq*Daj*okz*iDi*tdz*nxB*kmz*Bfs*wnu*vCz*uzq*-</w:t>
            </w:r>
            <w:r>
              <w:rPr>
                <w:rFonts w:ascii="PDF417x" w:hAnsi="PDF417x"/>
                <w:sz w:val="24"/>
                <w:szCs w:val="24"/>
              </w:rPr>
              <w:br/>
            </w:r>
          </w:p>
        </w:tc>
      </w:tr>
      <w:bookmarkEnd w:id="0"/>
    </w:tbl>
    <w:tbl>
      <w:tblPr>
        <w:tblStyle w:val="TableGrid1"/>
        <w:tblpPr w:leftFromText="180" w:rightFromText="180" w:vertAnchor="text" w:horzAnchor="page" w:tblpX="5738" w:tblpY="-633"/>
        <w:tblW w:w="0" w:type="auto"/>
        <w:tblLook w:val="04A0" w:firstRow="1" w:lastRow="0" w:firstColumn="1" w:lastColumn="0" w:noHBand="0" w:noVBand="1"/>
      </w:tblPr>
      <w:tblGrid>
        <w:gridCol w:w="5280"/>
      </w:tblGrid>
      <w:tr w:rsidR="00B92D0F" w:rsidRPr="00B92D0F" w14:paraId="2F6E1E83" w14:textId="77777777" w:rsidTr="00B92D0F">
        <w:trPr>
          <w:trHeight w:val="1408"/>
        </w:trPr>
        <w:tc>
          <w:tcPr>
            <w:tcW w:w="5280" w:type="dxa"/>
            <w:tcBorders>
              <w:top w:val="nil"/>
              <w:left w:val="nil"/>
              <w:bottom w:val="nil"/>
              <w:right w:val="nil"/>
            </w:tcBorders>
          </w:tcPr>
          <w:p w14:paraId="5BFA6128" w14:textId="77777777" w:rsidR="00B92D0F" w:rsidRPr="00B92D0F" w:rsidRDefault="00B92D0F" w:rsidP="00A836D0">
            <w:pPr>
              <w:contextualSpacing/>
              <w:rPr>
                <w:rFonts w:ascii="PDF417x" w:eastAsia="Times New Roman" w:hAnsi="PDF417x" w:cs="Times New Roman"/>
                <w:sz w:val="24"/>
                <w:szCs w:val="24"/>
              </w:rPr>
            </w:pPr>
          </w:p>
        </w:tc>
      </w:tr>
    </w:tbl>
    <w:p w14:paraId="49B221CD" w14:textId="77777777" w:rsidR="008C5FE5" w:rsidRDefault="00B92D0F" w:rsidP="00B92D0F">
      <w:pPr>
        <w:jc w:val="both"/>
        <w:rPr>
          <w:rFonts w:eastAsia="Times New Roman" w:cs="Times New Roman"/>
        </w:rPr>
      </w:pPr>
      <w:r w:rsidRPr="00B92D0F">
        <w:rPr>
          <w:rFonts w:eastAsia="Times New Roman" w:cs="Times New Roman"/>
        </w:rPr>
        <w:drawing>
          <wp:anchor distT="0" distB="0" distL="114300" distR="114300" simplePos="0" relativeHeight="251674624" behindDoc="0" locked="0" layoutInCell="1" allowOverlap="1" wp14:anchorId="7A02E439" wp14:editId="1C91F1C8">
            <wp:simplePos x="0" y="0"/>
            <wp:positionH relativeFrom="column">
              <wp:posOffset>419735</wp:posOffset>
            </wp:positionH>
            <wp:positionV relativeFrom="paragraph">
              <wp:posOffset>-331470</wp:posOffset>
            </wp:positionV>
            <wp:extent cx="335915" cy="445135"/>
            <wp:effectExtent l="0" t="0" r="6985" b="0"/>
            <wp:wrapNone/>
            <wp:docPr id="1" name="Slika 1" descr="Grb Hrvatske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Grb Hrvatske - Wikipedi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35915" cy="4451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881CB8B" w14:textId="066731CB" w:rsidR="008C5FE5" w:rsidRPr="001065FA" w:rsidRDefault="003F65C1" w:rsidP="00BF0FC5">
      <w:pPr>
        <w:rPr>
          <w:rFonts w:asciiTheme="majorHAnsi" w:eastAsia="Times New Roman" w:hAnsiTheme="majorHAnsi" w:cs="Calibri"/>
          <w:b/>
          <w:bCs/>
          <w:noProof w:val="0"/>
          <w:color w:val="000000"/>
          <w:sz w:val="24"/>
          <w:szCs w:val="24"/>
          <w:lang w:eastAsia="hr-HR"/>
        </w:rPr>
      </w:pPr>
      <w:r w:rsidRPr="001065FA">
        <w:rPr>
          <w:rFonts w:asciiTheme="majorHAnsi" w:eastAsia="Times New Roman" w:hAnsiTheme="majorHAnsi" w:cs="Calibri"/>
          <w:b/>
          <w:bCs/>
          <w:noProof w:val="0"/>
          <w:color w:val="000000"/>
          <w:sz w:val="24"/>
          <w:szCs w:val="24"/>
          <w:lang w:eastAsia="hr-HR"/>
        </w:rPr>
        <w:t>REPUBLIKA HRVATSKA</w:t>
      </w:r>
      <w:r w:rsidR="00BF0FC5" w:rsidRPr="001065FA">
        <w:rPr>
          <w:rFonts w:asciiTheme="majorHAnsi" w:eastAsia="Times New Roman" w:hAnsiTheme="majorHAnsi" w:cs="Calibri"/>
          <w:b/>
          <w:bCs/>
          <w:noProof w:val="0"/>
          <w:color w:val="000000"/>
          <w:sz w:val="24"/>
          <w:szCs w:val="24"/>
          <w:lang w:eastAsia="hr-HR"/>
        </w:rPr>
        <w:br/>
        <w:t>VARAŽDINSKA ŽUPANIJA</w:t>
      </w:r>
      <w:r w:rsidR="00BF0FC5" w:rsidRPr="001065FA">
        <w:rPr>
          <w:rFonts w:asciiTheme="majorHAnsi" w:eastAsia="Times New Roman" w:hAnsiTheme="majorHAnsi" w:cs="Calibri"/>
          <w:b/>
          <w:bCs/>
          <w:noProof w:val="0"/>
          <w:color w:val="000000"/>
          <w:sz w:val="24"/>
          <w:szCs w:val="24"/>
          <w:lang w:eastAsia="hr-HR"/>
        </w:rPr>
        <w:br/>
        <w:t>GRAD LUDBREG</w:t>
      </w:r>
      <w:r w:rsidR="00BF0FC5" w:rsidRPr="001065FA">
        <w:rPr>
          <w:rFonts w:asciiTheme="majorHAnsi" w:eastAsia="Times New Roman" w:hAnsiTheme="majorHAnsi" w:cs="Calibri"/>
          <w:b/>
          <w:bCs/>
          <w:noProof w:val="0"/>
          <w:color w:val="000000"/>
          <w:sz w:val="24"/>
          <w:szCs w:val="24"/>
          <w:lang w:eastAsia="hr-HR"/>
        </w:rPr>
        <w:br/>
      </w:r>
      <w:r w:rsidR="001065FA" w:rsidRPr="001065FA">
        <w:rPr>
          <w:rFonts w:asciiTheme="majorHAnsi" w:eastAsia="Times New Roman" w:hAnsiTheme="majorHAnsi" w:cs="Calibri"/>
          <w:b/>
          <w:bCs/>
          <w:noProof w:val="0"/>
          <w:color w:val="000000"/>
          <w:sz w:val="24"/>
          <w:szCs w:val="24"/>
          <w:lang w:eastAsia="hr-HR"/>
        </w:rPr>
        <w:t>GRADONAČELNIK</w:t>
      </w:r>
    </w:p>
    <w:p w14:paraId="67B11731" w14:textId="3FEDF5AA" w:rsidR="00B92D0F" w:rsidRPr="001065FA" w:rsidRDefault="00C9578C" w:rsidP="00BF0FC5">
      <w:pPr>
        <w:rPr>
          <w:rFonts w:asciiTheme="majorHAnsi" w:eastAsia="Times New Roman" w:hAnsiTheme="majorHAnsi" w:cs="Times New Roman"/>
          <w:noProof w:val="0"/>
          <w:sz w:val="24"/>
          <w:szCs w:val="24"/>
        </w:rPr>
      </w:pPr>
      <w:r w:rsidRPr="001065FA">
        <w:rPr>
          <w:rFonts w:asciiTheme="majorHAnsi" w:eastAsia="Times New Roman" w:hAnsiTheme="majorHAnsi" w:cs="Calibri"/>
          <w:noProof w:val="0"/>
          <w:color w:val="000000"/>
          <w:sz w:val="24"/>
          <w:szCs w:val="24"/>
          <w:lang w:eastAsia="hr-HR"/>
        </w:rPr>
        <w:t>KLASA:</w:t>
      </w:r>
      <w:r w:rsidR="00275B0C" w:rsidRPr="001065FA">
        <w:rPr>
          <w:rFonts w:asciiTheme="majorHAnsi" w:eastAsia="Times New Roman" w:hAnsiTheme="majorHAnsi" w:cs="Calibri"/>
          <w:noProof w:val="0"/>
          <w:color w:val="000000"/>
          <w:sz w:val="24"/>
          <w:szCs w:val="24"/>
          <w:lang w:eastAsia="hr-HR"/>
        </w:rPr>
        <w:t xml:space="preserve"> </w:t>
      </w:r>
      <w:r w:rsidRPr="001065FA">
        <w:rPr>
          <w:rFonts w:asciiTheme="majorHAnsi" w:eastAsia="Times New Roman" w:hAnsiTheme="majorHAnsi" w:cs="Calibri"/>
          <w:noProof w:val="0"/>
          <w:color w:val="000000"/>
          <w:sz w:val="24"/>
          <w:szCs w:val="24"/>
          <w:lang w:eastAsia="hr-HR"/>
        </w:rPr>
        <w:t xml:space="preserve"> </w:t>
      </w:r>
      <w:r w:rsidR="00B92D0F" w:rsidRPr="001065FA">
        <w:rPr>
          <w:rFonts w:asciiTheme="majorHAnsi" w:eastAsia="Times New Roman" w:hAnsiTheme="majorHAnsi" w:cs="Calibri"/>
          <w:noProof w:val="0"/>
          <w:color w:val="000000"/>
          <w:sz w:val="24"/>
          <w:szCs w:val="24"/>
          <w:lang w:eastAsia="hr-HR"/>
        </w:rPr>
        <w:t>363-02/24-01/11</w:t>
      </w:r>
      <w:r w:rsidR="008C5FE5" w:rsidRPr="001065FA">
        <w:rPr>
          <w:rFonts w:asciiTheme="majorHAnsi" w:eastAsia="Times New Roman" w:hAnsiTheme="majorHAnsi" w:cs="Calibri"/>
          <w:noProof w:val="0"/>
          <w:color w:val="000000"/>
          <w:sz w:val="24"/>
          <w:szCs w:val="24"/>
          <w:lang w:eastAsia="hr-HR"/>
        </w:rPr>
        <w:t xml:space="preserve"> </w:t>
      </w:r>
    </w:p>
    <w:p w14:paraId="0FD39D47" w14:textId="3B225B5A" w:rsidR="00B92D0F" w:rsidRPr="001065FA" w:rsidRDefault="00C9578C" w:rsidP="00B92D0F">
      <w:pPr>
        <w:rPr>
          <w:rFonts w:asciiTheme="majorHAnsi" w:eastAsia="Times New Roman" w:hAnsiTheme="majorHAnsi" w:cs="Calibri"/>
          <w:noProof w:val="0"/>
          <w:color w:val="000000"/>
          <w:sz w:val="24"/>
          <w:szCs w:val="24"/>
          <w:lang w:eastAsia="hr-HR"/>
        </w:rPr>
      </w:pPr>
      <w:r w:rsidRPr="001065FA">
        <w:rPr>
          <w:rFonts w:asciiTheme="majorHAnsi" w:eastAsia="Times New Roman" w:hAnsiTheme="majorHAnsi" w:cs="Calibri"/>
          <w:noProof w:val="0"/>
          <w:color w:val="000000"/>
          <w:sz w:val="24"/>
          <w:szCs w:val="24"/>
          <w:lang w:eastAsia="hr-HR"/>
        </w:rPr>
        <w:t xml:space="preserve">URBROJ: </w:t>
      </w:r>
      <w:r w:rsidR="00B92D0F" w:rsidRPr="001065FA">
        <w:rPr>
          <w:rFonts w:asciiTheme="majorHAnsi" w:eastAsia="Times New Roman" w:hAnsiTheme="majorHAnsi" w:cs="Calibri"/>
          <w:noProof w:val="0"/>
          <w:color w:val="000000"/>
          <w:sz w:val="24"/>
          <w:szCs w:val="24"/>
          <w:lang w:eastAsia="hr-HR"/>
        </w:rPr>
        <w:t>2186-16-01/1-26-7</w:t>
      </w:r>
    </w:p>
    <w:p w14:paraId="4445648A" w14:textId="469C0DC6" w:rsidR="00B92D0F" w:rsidRPr="001065FA" w:rsidRDefault="008B2AAC" w:rsidP="00B92D0F">
      <w:pPr>
        <w:rPr>
          <w:rFonts w:asciiTheme="majorHAnsi" w:eastAsia="Times New Roman" w:hAnsiTheme="majorHAnsi" w:cs="Calibri"/>
          <w:b/>
          <w:bCs/>
          <w:noProof w:val="0"/>
          <w:color w:val="000000"/>
          <w:sz w:val="24"/>
          <w:szCs w:val="24"/>
          <w:lang w:eastAsia="hr-HR"/>
        </w:rPr>
      </w:pPr>
      <w:r w:rsidRPr="001065FA">
        <w:rPr>
          <w:rFonts w:asciiTheme="majorHAnsi" w:eastAsia="Times New Roman" w:hAnsiTheme="majorHAnsi" w:cs="Calibri"/>
          <w:noProof w:val="0"/>
          <w:color w:val="000000"/>
          <w:sz w:val="24"/>
          <w:szCs w:val="24"/>
          <w:lang w:eastAsia="hr-HR"/>
        </w:rPr>
        <w:t>Ludbreg</w:t>
      </w:r>
      <w:r w:rsidR="00C9578C" w:rsidRPr="001065FA">
        <w:rPr>
          <w:rFonts w:asciiTheme="majorHAnsi" w:eastAsia="Times New Roman" w:hAnsiTheme="majorHAnsi" w:cs="Calibri"/>
          <w:noProof w:val="0"/>
          <w:sz w:val="24"/>
          <w:szCs w:val="24"/>
          <w:lang w:eastAsia="hr-HR"/>
        </w:rPr>
        <w:t xml:space="preserve">, </w:t>
      </w:r>
      <w:bookmarkStart w:id="1" w:name="_Hlk155949544"/>
      <w:r w:rsidR="00D07FBD" w:rsidRPr="00D07FBD">
        <w:rPr>
          <w:rFonts w:asciiTheme="majorHAnsi" w:eastAsia="Times New Roman" w:hAnsiTheme="majorHAnsi" w:cs="Calibri"/>
          <w:noProof w:val="0"/>
          <w:color w:val="000000"/>
          <w:sz w:val="24"/>
          <w:szCs w:val="24"/>
          <w:shd w:val="clear" w:color="auto" w:fill="FFFFFF" w:themeFill="background1"/>
          <w:lang w:eastAsia="hr-HR"/>
        </w:rPr>
        <w:t>2</w:t>
      </w:r>
      <w:r w:rsidR="00B92D0F" w:rsidRPr="00D07FBD">
        <w:rPr>
          <w:rFonts w:asciiTheme="majorHAnsi" w:eastAsia="Times New Roman" w:hAnsiTheme="majorHAnsi" w:cs="Calibri"/>
          <w:noProof w:val="0"/>
          <w:color w:val="000000"/>
          <w:sz w:val="24"/>
          <w:szCs w:val="24"/>
          <w:shd w:val="clear" w:color="auto" w:fill="FFFFFF" w:themeFill="background1"/>
          <w:lang w:eastAsia="hr-HR"/>
        </w:rPr>
        <w:t>0</w:t>
      </w:r>
      <w:r w:rsidR="00B92D0F" w:rsidRPr="00D07FBD">
        <w:rPr>
          <w:rFonts w:asciiTheme="majorHAnsi" w:eastAsia="Times New Roman" w:hAnsiTheme="majorHAnsi" w:cs="Calibri"/>
          <w:noProof w:val="0"/>
          <w:color w:val="000000"/>
          <w:sz w:val="24"/>
          <w:szCs w:val="24"/>
          <w:lang w:eastAsia="hr-HR"/>
        </w:rPr>
        <w:t>.</w:t>
      </w:r>
      <w:r w:rsidR="001065FA" w:rsidRPr="001065FA">
        <w:rPr>
          <w:rFonts w:asciiTheme="majorHAnsi" w:eastAsia="Times New Roman" w:hAnsiTheme="majorHAnsi" w:cs="Calibri"/>
          <w:noProof w:val="0"/>
          <w:color w:val="000000"/>
          <w:sz w:val="24"/>
          <w:szCs w:val="24"/>
          <w:lang w:eastAsia="hr-HR"/>
        </w:rPr>
        <w:t xml:space="preserve"> </w:t>
      </w:r>
      <w:r w:rsidR="00B92D0F" w:rsidRPr="001065FA">
        <w:rPr>
          <w:rFonts w:asciiTheme="majorHAnsi" w:eastAsia="Times New Roman" w:hAnsiTheme="majorHAnsi" w:cs="Calibri"/>
          <w:noProof w:val="0"/>
          <w:color w:val="000000"/>
          <w:sz w:val="24"/>
          <w:szCs w:val="24"/>
          <w:lang w:eastAsia="hr-HR"/>
        </w:rPr>
        <w:t>0</w:t>
      </w:r>
      <w:r w:rsidR="007E29F2">
        <w:rPr>
          <w:rFonts w:asciiTheme="majorHAnsi" w:eastAsia="Times New Roman" w:hAnsiTheme="majorHAnsi" w:cs="Calibri"/>
          <w:noProof w:val="0"/>
          <w:color w:val="000000"/>
          <w:sz w:val="24"/>
          <w:szCs w:val="24"/>
          <w:lang w:eastAsia="hr-HR"/>
        </w:rPr>
        <w:t>7</w:t>
      </w:r>
      <w:r w:rsidR="00B92D0F" w:rsidRPr="001065FA">
        <w:rPr>
          <w:rFonts w:asciiTheme="majorHAnsi" w:eastAsia="Times New Roman" w:hAnsiTheme="majorHAnsi" w:cs="Calibri"/>
          <w:noProof w:val="0"/>
          <w:color w:val="000000"/>
          <w:sz w:val="24"/>
          <w:szCs w:val="24"/>
          <w:lang w:eastAsia="hr-HR"/>
        </w:rPr>
        <w:t>.</w:t>
      </w:r>
      <w:r w:rsidR="001065FA" w:rsidRPr="001065FA">
        <w:rPr>
          <w:rFonts w:asciiTheme="majorHAnsi" w:eastAsia="Times New Roman" w:hAnsiTheme="majorHAnsi" w:cs="Calibri"/>
          <w:noProof w:val="0"/>
          <w:color w:val="000000"/>
          <w:sz w:val="24"/>
          <w:szCs w:val="24"/>
          <w:lang w:eastAsia="hr-HR"/>
        </w:rPr>
        <w:t xml:space="preserve"> </w:t>
      </w:r>
      <w:r w:rsidR="00B92D0F" w:rsidRPr="001065FA">
        <w:rPr>
          <w:rFonts w:asciiTheme="majorHAnsi" w:eastAsia="Times New Roman" w:hAnsiTheme="majorHAnsi" w:cs="Calibri"/>
          <w:noProof w:val="0"/>
          <w:color w:val="000000"/>
          <w:sz w:val="24"/>
          <w:szCs w:val="24"/>
          <w:lang w:eastAsia="hr-HR"/>
        </w:rPr>
        <w:t>2026.</w:t>
      </w:r>
      <w:bookmarkEnd w:id="1"/>
    </w:p>
    <w:p w14:paraId="5B85D828" w14:textId="77777777" w:rsidR="00D07FBD" w:rsidRDefault="00D07FBD" w:rsidP="001065FA">
      <w:pPr>
        <w:autoSpaceDE w:val="0"/>
        <w:autoSpaceDN w:val="0"/>
        <w:adjustRightInd w:val="0"/>
        <w:jc w:val="both"/>
        <w:rPr>
          <w:rFonts w:asciiTheme="majorHAnsi" w:eastAsia="Times New Roman" w:hAnsiTheme="majorHAnsi" w:cs="Times New Roman"/>
          <w:noProof w:val="0"/>
          <w:sz w:val="24"/>
          <w:szCs w:val="24"/>
          <w:bdr w:val="single" w:sz="4" w:space="0" w:color="auto"/>
        </w:rPr>
      </w:pPr>
    </w:p>
    <w:p w14:paraId="73EC328A" w14:textId="0FCD8C23" w:rsidR="001065FA" w:rsidRPr="001065FA" w:rsidRDefault="001065FA" w:rsidP="001065FA">
      <w:pPr>
        <w:autoSpaceDE w:val="0"/>
        <w:autoSpaceDN w:val="0"/>
        <w:adjustRightInd w:val="0"/>
        <w:jc w:val="both"/>
        <w:rPr>
          <w:rFonts w:asciiTheme="majorHAnsi" w:eastAsia="ArialMT" w:hAnsiTheme="majorHAnsi" w:cs="Calibri"/>
          <w:sz w:val="24"/>
          <w:szCs w:val="24"/>
        </w:rPr>
      </w:pPr>
      <w:r w:rsidRPr="001065FA">
        <w:rPr>
          <w:rFonts w:asciiTheme="majorHAnsi" w:hAnsiTheme="majorHAnsi" w:cs="Calibri"/>
          <w:sz w:val="24"/>
          <w:szCs w:val="24"/>
        </w:rPr>
        <w:tab/>
      </w:r>
      <w:r w:rsidRPr="001065FA">
        <w:rPr>
          <w:rFonts w:asciiTheme="majorHAnsi" w:eastAsia="ArialMT" w:hAnsiTheme="majorHAnsi" w:cs="Calibri"/>
          <w:sz w:val="24"/>
          <w:szCs w:val="24"/>
        </w:rPr>
        <w:t xml:space="preserve">Na temelju članka 74. Zakona o komunalnom gospodarstvu </w:t>
      </w:r>
      <w:r w:rsidRPr="001065FA">
        <w:rPr>
          <w:rFonts w:asciiTheme="majorHAnsi" w:hAnsiTheme="majorHAnsi" w:cs="Calibri"/>
          <w:sz w:val="24"/>
          <w:szCs w:val="24"/>
        </w:rPr>
        <w:t>(Narodne novine“ br. 68/18,  110/18, 32/20 i   145/24) i članka 58. Statuta Grada Ludbrega („Službeni Vjesnik Varaždinske županije“, br. 12/2021)</w:t>
      </w:r>
      <w:r w:rsidRPr="001065FA">
        <w:rPr>
          <w:rFonts w:asciiTheme="majorHAnsi" w:eastAsia="ArialMT" w:hAnsiTheme="majorHAnsi" w:cs="Calibri"/>
          <w:sz w:val="24"/>
          <w:szCs w:val="24"/>
        </w:rPr>
        <w:t>,  gradonačelnik Grada Ludbrega na 9. sjednici Gradskog vijeća Grada Ludbrega, održanoj</w:t>
      </w:r>
      <w:r w:rsidR="00D07FBD">
        <w:rPr>
          <w:rFonts w:asciiTheme="majorHAnsi" w:eastAsia="ArialMT" w:hAnsiTheme="majorHAnsi" w:cs="Calibri"/>
          <w:sz w:val="24"/>
          <w:szCs w:val="24"/>
        </w:rPr>
        <w:t xml:space="preserve"> 20</w:t>
      </w:r>
      <w:r w:rsidRPr="00D07FBD">
        <w:rPr>
          <w:rFonts w:asciiTheme="majorHAnsi" w:hAnsiTheme="majorHAnsi" w:cstheme="minorHAnsi"/>
          <w:sz w:val="24"/>
          <w:szCs w:val="24"/>
          <w:shd w:val="clear" w:color="auto" w:fill="FFFFFF" w:themeFill="background1"/>
        </w:rPr>
        <w:t xml:space="preserve">. </w:t>
      </w:r>
      <w:r w:rsidR="007E29F2" w:rsidRPr="00EB66E4">
        <w:rPr>
          <w:rFonts w:asciiTheme="majorHAnsi" w:hAnsiTheme="majorHAnsi" w:cstheme="minorHAnsi"/>
          <w:sz w:val="24"/>
          <w:szCs w:val="24"/>
        </w:rPr>
        <w:t>srp</w:t>
      </w:r>
      <w:r w:rsidRPr="00EB66E4">
        <w:rPr>
          <w:rFonts w:asciiTheme="majorHAnsi" w:hAnsiTheme="majorHAnsi" w:cstheme="minorHAnsi"/>
          <w:sz w:val="24"/>
          <w:szCs w:val="24"/>
        </w:rPr>
        <w:t xml:space="preserve">nja </w:t>
      </w:r>
      <w:r w:rsidRPr="001065FA">
        <w:rPr>
          <w:rFonts w:asciiTheme="majorHAnsi" w:eastAsia="ArialMT" w:hAnsiTheme="majorHAnsi" w:cs="Calibri"/>
          <w:sz w:val="24"/>
          <w:szCs w:val="24"/>
        </w:rPr>
        <w:t>2026. godine., podnosi</w:t>
      </w:r>
    </w:p>
    <w:p w14:paraId="0951A8B4" w14:textId="77777777" w:rsidR="001065FA" w:rsidRPr="001065FA" w:rsidRDefault="001065FA" w:rsidP="001065FA">
      <w:pPr>
        <w:rPr>
          <w:rFonts w:asciiTheme="majorHAnsi" w:hAnsiTheme="majorHAnsi" w:cs="Arial"/>
          <w:bCs/>
          <w:sz w:val="24"/>
          <w:szCs w:val="24"/>
        </w:rPr>
      </w:pPr>
    </w:p>
    <w:p w14:paraId="1CC1AF2D" w14:textId="77777777" w:rsidR="001065FA" w:rsidRPr="001065FA" w:rsidRDefault="001065FA" w:rsidP="001065FA">
      <w:pPr>
        <w:keepNext/>
        <w:jc w:val="center"/>
        <w:outlineLvl w:val="1"/>
        <w:rPr>
          <w:rFonts w:asciiTheme="majorHAnsi" w:eastAsia="Times New Roman" w:hAnsiTheme="majorHAnsi" w:cs="Arial"/>
          <w:b/>
          <w:bCs/>
          <w:noProof w:val="0"/>
          <w:spacing w:val="40"/>
          <w:sz w:val="32"/>
          <w:szCs w:val="32"/>
          <w:lang w:eastAsia="hr-HR"/>
        </w:rPr>
      </w:pPr>
      <w:r w:rsidRPr="001065FA">
        <w:rPr>
          <w:rFonts w:asciiTheme="majorHAnsi" w:eastAsia="Times New Roman" w:hAnsiTheme="majorHAnsi" w:cs="Arial"/>
          <w:b/>
          <w:bCs/>
          <w:noProof w:val="0"/>
          <w:spacing w:val="40"/>
          <w:sz w:val="32"/>
          <w:szCs w:val="32"/>
          <w:lang w:eastAsia="hr-HR"/>
        </w:rPr>
        <w:t>IZVJEŠĆE</w:t>
      </w:r>
    </w:p>
    <w:p w14:paraId="772E057C" w14:textId="14B6E579" w:rsidR="001065FA" w:rsidRPr="001065FA" w:rsidRDefault="001065FA" w:rsidP="001065FA">
      <w:pPr>
        <w:jc w:val="center"/>
        <w:rPr>
          <w:rFonts w:asciiTheme="majorHAnsi" w:hAnsiTheme="majorHAnsi" w:cs="Arial"/>
          <w:b/>
          <w:bCs/>
          <w:sz w:val="24"/>
          <w:szCs w:val="24"/>
        </w:rPr>
      </w:pPr>
      <w:r w:rsidRPr="001065FA">
        <w:rPr>
          <w:rFonts w:asciiTheme="majorHAnsi" w:hAnsiTheme="majorHAnsi" w:cs="Arial"/>
          <w:b/>
          <w:bCs/>
          <w:sz w:val="24"/>
          <w:szCs w:val="24"/>
        </w:rPr>
        <w:t>O IZVRŠENJU PROGRAMA ODRŽAVANJA</w:t>
      </w:r>
      <w:r>
        <w:rPr>
          <w:rFonts w:asciiTheme="majorHAnsi" w:hAnsiTheme="majorHAnsi" w:cs="Arial"/>
          <w:b/>
          <w:bCs/>
          <w:sz w:val="24"/>
          <w:szCs w:val="24"/>
        </w:rPr>
        <w:t xml:space="preserve"> </w:t>
      </w:r>
      <w:r w:rsidRPr="001065FA">
        <w:rPr>
          <w:rFonts w:asciiTheme="majorHAnsi" w:hAnsiTheme="majorHAnsi" w:cs="Arial"/>
          <w:b/>
          <w:bCs/>
          <w:sz w:val="24"/>
          <w:szCs w:val="24"/>
        </w:rPr>
        <w:t>KOMUNALNE INFRASTRUKTURE U GRADU LUDBREGU ZA 2025. g</w:t>
      </w:r>
    </w:p>
    <w:p w14:paraId="3B956487" w14:textId="77777777" w:rsidR="001065FA" w:rsidRPr="001065FA" w:rsidRDefault="001065FA" w:rsidP="001065FA">
      <w:pPr>
        <w:ind w:firstLine="708"/>
        <w:jc w:val="both"/>
        <w:rPr>
          <w:rFonts w:asciiTheme="majorHAnsi" w:hAnsiTheme="majorHAnsi" w:cs="Arial"/>
          <w:bCs/>
          <w:sz w:val="24"/>
          <w:szCs w:val="24"/>
        </w:rPr>
      </w:pPr>
    </w:p>
    <w:p w14:paraId="0453B081" w14:textId="197F9CFA" w:rsidR="001065FA" w:rsidRPr="001065FA" w:rsidRDefault="001065FA" w:rsidP="001065FA">
      <w:pPr>
        <w:pStyle w:val="Standard"/>
        <w:jc w:val="both"/>
        <w:rPr>
          <w:rFonts w:asciiTheme="majorHAnsi" w:hAnsiTheme="majorHAnsi" w:cs="Calibri"/>
          <w:color w:val="000000" w:themeColor="text1"/>
          <w:sz w:val="24"/>
        </w:rPr>
      </w:pPr>
      <w:r w:rsidRPr="001065FA">
        <w:rPr>
          <w:rFonts w:asciiTheme="majorHAnsi" w:hAnsiTheme="majorHAnsi" w:cs="Arial"/>
          <w:bCs/>
          <w:color w:val="000000" w:themeColor="text1"/>
          <w:sz w:val="24"/>
        </w:rPr>
        <w:t xml:space="preserve">Gradsko vijeće Grada Ludbrega je na 29. sjednici održanoj </w:t>
      </w:r>
      <w:r w:rsidRPr="001065FA">
        <w:rPr>
          <w:rFonts w:asciiTheme="majorHAnsi" w:hAnsiTheme="majorHAnsi" w:cs="Calibri-Bold"/>
          <w:bCs/>
          <w:color w:val="000000" w:themeColor="text1"/>
          <w:sz w:val="24"/>
        </w:rPr>
        <w:t>26. studenoga 2024.</w:t>
      </w:r>
      <w:r w:rsidRPr="001065FA">
        <w:rPr>
          <w:rFonts w:asciiTheme="majorHAnsi" w:hAnsiTheme="majorHAnsi" w:cs="Arial"/>
          <w:bCs/>
          <w:color w:val="000000" w:themeColor="text1"/>
          <w:sz w:val="24"/>
        </w:rPr>
        <w:t>g., donijelo Program održavanja komunalne infrastrukture u Gradu Ludbregu za 2025. g. („Službeni vjesnik Varaždinske županije</w:t>
      </w:r>
      <w:r w:rsidRPr="001065FA">
        <w:rPr>
          <w:rFonts w:asciiTheme="majorHAnsi" w:hAnsiTheme="majorHAnsi" w:cs="Arial"/>
          <w:bCs/>
          <w:i/>
          <w:iCs/>
          <w:color w:val="000000" w:themeColor="text1"/>
          <w:sz w:val="24"/>
        </w:rPr>
        <w:t>“,</w:t>
      </w:r>
      <w:r w:rsidRPr="001065FA">
        <w:rPr>
          <w:rFonts w:asciiTheme="majorHAnsi" w:hAnsiTheme="majorHAnsi" w:cs="Arial"/>
          <w:bCs/>
          <w:color w:val="000000" w:themeColor="text1"/>
          <w:sz w:val="24"/>
        </w:rPr>
        <w:t xml:space="preserve"> br. 103/2024), </w:t>
      </w:r>
      <w:r w:rsidRPr="001065FA">
        <w:rPr>
          <w:rFonts w:asciiTheme="majorHAnsi" w:hAnsiTheme="majorHAnsi" w:cs="Calibri"/>
          <w:bCs/>
          <w:color w:val="000000" w:themeColor="text1"/>
          <w:sz w:val="24"/>
        </w:rPr>
        <w:t>a na 6. sjednici održanoj 22. prosinca 2025. godine I. izmjene i dopune Programa održavanja komunalne infrastrukture u Gradu Ludbregu za 2025. godinu</w:t>
      </w:r>
      <w:r w:rsidRPr="001065FA">
        <w:rPr>
          <w:rFonts w:asciiTheme="majorHAnsi" w:hAnsiTheme="majorHAnsi" w:cs="Calibri"/>
          <w:b/>
          <w:bCs/>
          <w:color w:val="000000" w:themeColor="text1"/>
          <w:sz w:val="24"/>
        </w:rPr>
        <w:t xml:space="preserve"> </w:t>
      </w:r>
      <w:r w:rsidRPr="001065FA">
        <w:rPr>
          <w:rFonts w:asciiTheme="majorHAnsi" w:hAnsiTheme="majorHAnsi" w:cs="Calibri"/>
          <w:bCs/>
          <w:color w:val="000000" w:themeColor="text1"/>
          <w:sz w:val="24"/>
        </w:rPr>
        <w:t>(„Službeni vjesnik Varaždinske županije“, br. 133/2025) .</w:t>
      </w:r>
    </w:p>
    <w:p w14:paraId="78EFB1E5" w14:textId="77777777" w:rsidR="001065FA" w:rsidRPr="001065FA" w:rsidRDefault="001065FA" w:rsidP="001065FA">
      <w:pPr>
        <w:jc w:val="both"/>
        <w:rPr>
          <w:rFonts w:asciiTheme="majorHAnsi" w:hAnsiTheme="majorHAnsi" w:cs="Calibri"/>
          <w:bCs/>
        </w:rPr>
      </w:pPr>
    </w:p>
    <w:p w14:paraId="33502D46" w14:textId="2945A976" w:rsidR="001065FA" w:rsidRPr="001065FA" w:rsidRDefault="001065FA" w:rsidP="001065FA">
      <w:pPr>
        <w:jc w:val="both"/>
        <w:rPr>
          <w:rFonts w:asciiTheme="majorHAnsi" w:hAnsiTheme="majorHAnsi" w:cs="Calibri"/>
          <w:b/>
          <w:bCs/>
          <w:color w:val="000000"/>
          <w:sz w:val="24"/>
          <w:szCs w:val="24"/>
        </w:rPr>
      </w:pPr>
      <w:r w:rsidRPr="001065FA">
        <w:rPr>
          <w:rFonts w:asciiTheme="majorHAnsi" w:hAnsiTheme="majorHAnsi" w:cs="Calibri"/>
          <w:bCs/>
          <w:sz w:val="24"/>
          <w:szCs w:val="24"/>
        </w:rPr>
        <w:t xml:space="preserve">Program je </w:t>
      </w:r>
      <w:r w:rsidRPr="001065FA">
        <w:rPr>
          <w:rFonts w:asciiTheme="majorHAnsi" w:hAnsiTheme="majorHAnsi" w:cs="Calibri"/>
          <w:b/>
          <w:bCs/>
          <w:sz w:val="24"/>
          <w:szCs w:val="24"/>
        </w:rPr>
        <w:t xml:space="preserve">planiran </w:t>
      </w:r>
      <w:r w:rsidRPr="001065FA">
        <w:rPr>
          <w:rFonts w:asciiTheme="majorHAnsi" w:hAnsiTheme="majorHAnsi" w:cs="Calibri"/>
          <w:bCs/>
          <w:sz w:val="24"/>
          <w:szCs w:val="24"/>
        </w:rPr>
        <w:t>u ukupnom iznosu od</w:t>
      </w:r>
      <w:r w:rsidRPr="001065FA">
        <w:rPr>
          <w:rFonts w:asciiTheme="majorHAnsi" w:hAnsiTheme="majorHAnsi" w:cs="Calibri"/>
          <w:b/>
          <w:bCs/>
          <w:sz w:val="24"/>
          <w:szCs w:val="24"/>
        </w:rPr>
        <w:t xml:space="preserve"> </w:t>
      </w:r>
      <w:r w:rsidRPr="001065FA">
        <w:rPr>
          <w:rFonts w:asciiTheme="majorHAnsi" w:hAnsiTheme="majorHAnsi" w:cs="Calibri"/>
          <w:b/>
          <w:bCs/>
          <w:color w:val="000000" w:themeColor="text1"/>
          <w:sz w:val="24"/>
          <w:szCs w:val="24"/>
        </w:rPr>
        <w:t>646.755,00 EUR,</w:t>
      </w:r>
      <w:r w:rsidRPr="001065FA">
        <w:rPr>
          <w:rFonts w:asciiTheme="majorHAnsi" w:hAnsiTheme="majorHAnsi" w:cs="Calibri"/>
          <w:bCs/>
          <w:color w:val="000000" w:themeColor="text1"/>
          <w:sz w:val="24"/>
          <w:szCs w:val="24"/>
        </w:rPr>
        <w:t xml:space="preserve"> izmijenjen na iznos od </w:t>
      </w:r>
      <w:r w:rsidRPr="001065FA">
        <w:rPr>
          <w:rFonts w:asciiTheme="majorHAnsi" w:hAnsiTheme="majorHAnsi" w:cs="Calibri"/>
          <w:b/>
          <w:bCs/>
          <w:color w:val="000000" w:themeColor="text1"/>
          <w:sz w:val="24"/>
          <w:szCs w:val="24"/>
        </w:rPr>
        <w:t xml:space="preserve">850.478,00 EUR i </w:t>
      </w:r>
      <w:r w:rsidRPr="001065FA">
        <w:rPr>
          <w:rFonts w:asciiTheme="majorHAnsi" w:hAnsiTheme="majorHAnsi" w:cs="Calibri"/>
          <w:bCs/>
          <w:color w:val="000000" w:themeColor="text1"/>
          <w:sz w:val="24"/>
          <w:szCs w:val="24"/>
        </w:rPr>
        <w:t xml:space="preserve"> </w:t>
      </w:r>
      <w:r w:rsidRPr="001065FA">
        <w:rPr>
          <w:rFonts w:asciiTheme="majorHAnsi" w:hAnsiTheme="majorHAnsi" w:cs="Calibri"/>
          <w:b/>
          <w:bCs/>
          <w:color w:val="000000" w:themeColor="text1"/>
          <w:sz w:val="24"/>
          <w:szCs w:val="24"/>
        </w:rPr>
        <w:t>ostvaren</w:t>
      </w:r>
      <w:r w:rsidRPr="001065FA">
        <w:rPr>
          <w:rFonts w:asciiTheme="majorHAnsi" w:hAnsiTheme="majorHAnsi" w:cs="Calibri"/>
          <w:bCs/>
          <w:color w:val="000000" w:themeColor="text1"/>
          <w:sz w:val="24"/>
          <w:szCs w:val="24"/>
        </w:rPr>
        <w:t xml:space="preserve">  u ukupnom iznosu od </w:t>
      </w:r>
      <w:r w:rsidRPr="001065FA">
        <w:rPr>
          <w:rFonts w:ascii="Cambria" w:hAnsi="Cambria" w:cs="Calibri"/>
          <w:b/>
          <w:bCs/>
          <w:color w:val="000000"/>
          <w:sz w:val="24"/>
          <w:szCs w:val="24"/>
        </w:rPr>
        <w:t>951.338,50</w:t>
      </w:r>
      <w:r w:rsidRPr="001065FA">
        <w:rPr>
          <w:rFonts w:asciiTheme="majorHAnsi" w:hAnsiTheme="majorHAnsi" w:cs="Calibri"/>
          <w:bCs/>
          <w:color w:val="EE0000"/>
          <w:sz w:val="24"/>
          <w:szCs w:val="24"/>
        </w:rPr>
        <w:t xml:space="preserve"> </w:t>
      </w:r>
      <w:r w:rsidRPr="001065FA">
        <w:rPr>
          <w:rFonts w:asciiTheme="majorHAnsi" w:hAnsiTheme="majorHAnsi" w:cs="Calibri"/>
          <w:b/>
          <w:color w:val="000000" w:themeColor="text1"/>
          <w:sz w:val="24"/>
          <w:szCs w:val="24"/>
        </w:rPr>
        <w:t>EUR</w:t>
      </w:r>
      <w:r w:rsidRPr="001065FA">
        <w:rPr>
          <w:rFonts w:asciiTheme="majorHAnsi" w:hAnsiTheme="majorHAnsi" w:cs="Calibri"/>
          <w:color w:val="000000" w:themeColor="text1"/>
          <w:sz w:val="24"/>
          <w:szCs w:val="24"/>
        </w:rPr>
        <w:t xml:space="preserve"> </w:t>
      </w:r>
      <w:r w:rsidRPr="001065FA">
        <w:rPr>
          <w:rFonts w:asciiTheme="majorHAnsi" w:hAnsiTheme="majorHAnsi" w:cs="Calibri"/>
          <w:bCs/>
          <w:color w:val="000000" w:themeColor="text1"/>
          <w:sz w:val="24"/>
          <w:szCs w:val="24"/>
        </w:rPr>
        <w:t>ili za 47,09 %  više u odnosu na prvobitni plan Program, odnosno 11,86 % više u odnosu na  I. izmjene i dopune Programa.</w:t>
      </w:r>
    </w:p>
    <w:p w14:paraId="25E5A029" w14:textId="77777777" w:rsidR="001065FA" w:rsidRPr="001065FA" w:rsidRDefault="001065FA" w:rsidP="001065FA">
      <w:pPr>
        <w:ind w:firstLine="708"/>
        <w:jc w:val="both"/>
        <w:rPr>
          <w:rFonts w:asciiTheme="majorHAnsi" w:hAnsiTheme="majorHAnsi" w:cs="Calibri"/>
          <w:bCs/>
          <w:sz w:val="24"/>
          <w:szCs w:val="24"/>
        </w:rPr>
      </w:pPr>
    </w:p>
    <w:p w14:paraId="69A6F58E" w14:textId="3F933174" w:rsidR="001065FA" w:rsidRDefault="001065FA" w:rsidP="001065FA">
      <w:pPr>
        <w:jc w:val="both"/>
        <w:rPr>
          <w:rFonts w:asciiTheme="majorHAnsi" w:hAnsiTheme="majorHAnsi" w:cs="Calibri"/>
          <w:bCs/>
          <w:sz w:val="24"/>
          <w:szCs w:val="24"/>
        </w:rPr>
      </w:pPr>
      <w:r w:rsidRPr="001065FA">
        <w:rPr>
          <w:rFonts w:asciiTheme="majorHAnsi" w:hAnsiTheme="majorHAnsi" w:cs="Calibri"/>
          <w:bCs/>
          <w:sz w:val="24"/>
          <w:szCs w:val="24"/>
        </w:rPr>
        <w:t>Niže u tabeli donosimo pregled ukupno planiranih i realiziranih sredstava za održavanje komunalne infrastrukture za 2025. g.</w:t>
      </w:r>
    </w:p>
    <w:p w14:paraId="1141A1CF" w14:textId="77777777" w:rsidR="00D07FBD" w:rsidRPr="001065FA" w:rsidRDefault="00D07FBD" w:rsidP="001065FA">
      <w:pPr>
        <w:jc w:val="both"/>
        <w:rPr>
          <w:rFonts w:asciiTheme="majorHAnsi" w:hAnsiTheme="majorHAnsi" w:cs="Calibri"/>
          <w:bCs/>
          <w:sz w:val="24"/>
          <w:szCs w:val="24"/>
        </w:rPr>
      </w:pPr>
    </w:p>
    <w:tbl>
      <w:tblPr>
        <w:tblW w:w="9776" w:type="dxa"/>
        <w:tblLook w:val="04A0" w:firstRow="1" w:lastRow="0" w:firstColumn="1" w:lastColumn="0" w:noHBand="0" w:noVBand="1"/>
      </w:tblPr>
      <w:tblGrid>
        <w:gridCol w:w="383"/>
        <w:gridCol w:w="2103"/>
        <w:gridCol w:w="1124"/>
        <w:gridCol w:w="1640"/>
        <w:gridCol w:w="1598"/>
        <w:gridCol w:w="1580"/>
        <w:gridCol w:w="1348"/>
      </w:tblGrid>
      <w:tr w:rsidR="001065FA" w:rsidRPr="001065FA" w14:paraId="0CD5D971" w14:textId="77777777" w:rsidTr="001065FA">
        <w:trPr>
          <w:trHeight w:val="498"/>
        </w:trPr>
        <w:tc>
          <w:tcPr>
            <w:tcW w:w="9776" w:type="dxa"/>
            <w:gridSpan w:val="7"/>
            <w:tcBorders>
              <w:top w:val="single" w:sz="4" w:space="0" w:color="auto"/>
              <w:left w:val="single" w:sz="4" w:space="0" w:color="auto"/>
              <w:bottom w:val="single" w:sz="4" w:space="0" w:color="auto"/>
              <w:right w:val="single" w:sz="4" w:space="0" w:color="auto"/>
            </w:tcBorders>
            <w:vAlign w:val="center"/>
            <w:hideMark/>
          </w:tcPr>
          <w:p w14:paraId="45273981" w14:textId="77777777" w:rsidR="001065FA" w:rsidRPr="001065FA" w:rsidRDefault="001065FA" w:rsidP="00AE4169">
            <w:pPr>
              <w:jc w:val="center"/>
              <w:rPr>
                <w:rFonts w:asciiTheme="majorHAnsi" w:hAnsiTheme="majorHAnsi" w:cs="Calibri"/>
                <w:b/>
                <w:bCs/>
                <w:color w:val="000000"/>
              </w:rPr>
            </w:pPr>
            <w:r w:rsidRPr="001065FA">
              <w:rPr>
                <w:rFonts w:asciiTheme="majorHAnsi" w:hAnsiTheme="majorHAnsi" w:cs="Calibri"/>
                <w:b/>
                <w:bCs/>
                <w:color w:val="000000"/>
              </w:rPr>
              <w:t>KOMUNALNE DJELATNOSTI KOJIMA SE OSIGURAVA ODRŽAVANJE KOMUNALNE INFRASTRUKTURE</w:t>
            </w:r>
          </w:p>
        </w:tc>
      </w:tr>
      <w:tr w:rsidR="001065FA" w:rsidRPr="001065FA" w14:paraId="5FE10AF4" w14:textId="77777777" w:rsidTr="001065FA">
        <w:trPr>
          <w:trHeight w:val="1296"/>
        </w:trPr>
        <w:tc>
          <w:tcPr>
            <w:tcW w:w="2502" w:type="dxa"/>
            <w:gridSpan w:val="2"/>
            <w:tcBorders>
              <w:top w:val="single" w:sz="4" w:space="0" w:color="auto"/>
              <w:left w:val="single" w:sz="4" w:space="0" w:color="auto"/>
              <w:bottom w:val="single" w:sz="4" w:space="0" w:color="auto"/>
              <w:right w:val="single" w:sz="4" w:space="0" w:color="auto"/>
            </w:tcBorders>
            <w:vAlign w:val="center"/>
            <w:hideMark/>
          </w:tcPr>
          <w:p w14:paraId="030373C9" w14:textId="77777777" w:rsidR="001065FA" w:rsidRPr="001065FA" w:rsidRDefault="001065FA" w:rsidP="00AE4169">
            <w:pPr>
              <w:jc w:val="center"/>
              <w:rPr>
                <w:rFonts w:asciiTheme="majorHAnsi" w:hAnsiTheme="majorHAnsi" w:cs="Calibri"/>
                <w:color w:val="000000"/>
              </w:rPr>
            </w:pPr>
            <w:bookmarkStart w:id="2" w:name="RANGE!B4"/>
            <w:r w:rsidRPr="001065FA">
              <w:rPr>
                <w:rFonts w:asciiTheme="majorHAnsi" w:hAnsiTheme="majorHAnsi" w:cs="Calibri"/>
                <w:color w:val="000000"/>
              </w:rPr>
              <w:t>Opis djelatnosti</w:t>
            </w:r>
            <w:bookmarkEnd w:id="2"/>
          </w:p>
        </w:tc>
        <w:tc>
          <w:tcPr>
            <w:tcW w:w="1124" w:type="dxa"/>
            <w:tcBorders>
              <w:top w:val="nil"/>
              <w:left w:val="nil"/>
              <w:bottom w:val="single" w:sz="4" w:space="0" w:color="auto"/>
              <w:right w:val="single" w:sz="4" w:space="0" w:color="auto"/>
            </w:tcBorders>
            <w:vAlign w:val="center"/>
            <w:hideMark/>
          </w:tcPr>
          <w:p w14:paraId="367D8E2F" w14:textId="77777777" w:rsidR="001065FA" w:rsidRPr="001065FA" w:rsidRDefault="001065FA" w:rsidP="00AE4169">
            <w:pPr>
              <w:jc w:val="center"/>
              <w:rPr>
                <w:rFonts w:asciiTheme="majorHAnsi" w:hAnsiTheme="majorHAnsi" w:cs="Calibri"/>
                <w:color w:val="000000"/>
              </w:rPr>
            </w:pPr>
            <w:r w:rsidRPr="001065FA">
              <w:rPr>
                <w:rFonts w:asciiTheme="majorHAnsi" w:hAnsiTheme="majorHAnsi" w:cs="Calibri"/>
                <w:color w:val="000000"/>
              </w:rPr>
              <w:t>Aktivnost</w:t>
            </w:r>
          </w:p>
        </w:tc>
        <w:tc>
          <w:tcPr>
            <w:tcW w:w="1661" w:type="dxa"/>
            <w:tcBorders>
              <w:top w:val="nil"/>
              <w:left w:val="nil"/>
              <w:bottom w:val="single" w:sz="4" w:space="0" w:color="auto"/>
              <w:right w:val="single" w:sz="4" w:space="0" w:color="auto"/>
            </w:tcBorders>
            <w:vAlign w:val="center"/>
            <w:hideMark/>
          </w:tcPr>
          <w:p w14:paraId="09C46258" w14:textId="7C1AAB6B" w:rsidR="001065FA" w:rsidRPr="001065FA" w:rsidRDefault="001065FA" w:rsidP="00AE4169">
            <w:pPr>
              <w:jc w:val="center"/>
              <w:rPr>
                <w:rFonts w:asciiTheme="majorHAnsi" w:hAnsiTheme="majorHAnsi" w:cs="Calibri"/>
                <w:color w:val="000000"/>
              </w:rPr>
            </w:pPr>
            <w:r w:rsidRPr="001065FA">
              <w:rPr>
                <w:rFonts w:asciiTheme="majorHAnsi" w:hAnsiTheme="majorHAnsi" w:cs="Calibri"/>
                <w:color w:val="000000"/>
              </w:rPr>
              <w:t>Plan za 2025.</w:t>
            </w:r>
            <w:r>
              <w:rPr>
                <w:rFonts w:asciiTheme="majorHAnsi" w:hAnsiTheme="majorHAnsi" w:cs="Calibri"/>
                <w:color w:val="000000"/>
              </w:rPr>
              <w:t xml:space="preserve"> u </w:t>
            </w:r>
            <w:r>
              <w:rPr>
                <w:rFonts w:ascii="Cambria" w:hAnsi="Cambria" w:cs="Calibri"/>
                <w:color w:val="000000"/>
              </w:rPr>
              <w:t>€</w:t>
            </w:r>
            <w:r w:rsidRPr="001065FA">
              <w:rPr>
                <w:rFonts w:asciiTheme="majorHAnsi" w:hAnsiTheme="majorHAnsi" w:cs="Calibri"/>
                <w:color w:val="000000"/>
              </w:rPr>
              <w:t xml:space="preserve">  </w:t>
            </w:r>
          </w:p>
        </w:tc>
        <w:tc>
          <w:tcPr>
            <w:tcW w:w="1616" w:type="dxa"/>
            <w:tcBorders>
              <w:top w:val="nil"/>
              <w:left w:val="nil"/>
              <w:bottom w:val="single" w:sz="4" w:space="0" w:color="auto"/>
              <w:right w:val="single" w:sz="4" w:space="0" w:color="auto"/>
            </w:tcBorders>
            <w:vAlign w:val="center"/>
            <w:hideMark/>
          </w:tcPr>
          <w:p w14:paraId="4DFD761A" w14:textId="479CC7AA" w:rsidR="001065FA" w:rsidRPr="001065FA" w:rsidRDefault="001065FA" w:rsidP="00AE4169">
            <w:pPr>
              <w:jc w:val="center"/>
              <w:rPr>
                <w:rFonts w:asciiTheme="majorHAnsi" w:hAnsiTheme="majorHAnsi" w:cs="Calibri"/>
                <w:color w:val="000000"/>
              </w:rPr>
            </w:pPr>
            <w:r w:rsidRPr="001065FA">
              <w:rPr>
                <w:rFonts w:asciiTheme="majorHAnsi" w:hAnsiTheme="majorHAnsi" w:cs="Calibri"/>
                <w:color w:val="000000"/>
              </w:rPr>
              <w:t xml:space="preserve">Planirani iznos I. izmjene  </w:t>
            </w:r>
            <w:r>
              <w:rPr>
                <w:rFonts w:asciiTheme="majorHAnsi" w:hAnsiTheme="majorHAnsi" w:cs="Calibri"/>
                <w:color w:val="000000"/>
              </w:rPr>
              <w:t xml:space="preserve">u </w:t>
            </w:r>
            <w:r>
              <w:rPr>
                <w:rFonts w:ascii="Cambria" w:hAnsi="Cambria" w:cs="Calibri"/>
                <w:color w:val="000000"/>
              </w:rPr>
              <w:t>€</w:t>
            </w:r>
            <w:r w:rsidRPr="001065FA">
              <w:rPr>
                <w:rFonts w:asciiTheme="majorHAnsi" w:hAnsiTheme="majorHAnsi" w:cs="Calibri"/>
                <w:color w:val="000000"/>
              </w:rPr>
              <w:t xml:space="preserve">  </w:t>
            </w:r>
          </w:p>
        </w:tc>
        <w:tc>
          <w:tcPr>
            <w:tcW w:w="1597" w:type="dxa"/>
            <w:tcBorders>
              <w:top w:val="nil"/>
              <w:left w:val="nil"/>
              <w:bottom w:val="single" w:sz="4" w:space="0" w:color="auto"/>
              <w:right w:val="single" w:sz="4" w:space="0" w:color="auto"/>
            </w:tcBorders>
            <w:vAlign w:val="center"/>
            <w:hideMark/>
          </w:tcPr>
          <w:p w14:paraId="0FA89CC3" w14:textId="653C246C" w:rsidR="001065FA" w:rsidRPr="001065FA" w:rsidRDefault="001065FA" w:rsidP="00AE4169">
            <w:pPr>
              <w:jc w:val="center"/>
              <w:rPr>
                <w:rFonts w:asciiTheme="majorHAnsi" w:hAnsiTheme="majorHAnsi" w:cs="Calibri"/>
                <w:color w:val="000000"/>
              </w:rPr>
            </w:pPr>
            <w:r w:rsidRPr="001065FA">
              <w:rPr>
                <w:rFonts w:asciiTheme="majorHAnsi" w:hAnsiTheme="majorHAnsi" w:cs="Calibri"/>
                <w:color w:val="000000"/>
              </w:rPr>
              <w:t>Iznos izvršenja za 2025.</w:t>
            </w:r>
            <w:r>
              <w:rPr>
                <w:rFonts w:asciiTheme="majorHAnsi" w:hAnsiTheme="majorHAnsi" w:cs="Calibri"/>
                <w:color w:val="000000"/>
              </w:rPr>
              <w:t xml:space="preserve"> u </w:t>
            </w:r>
            <w:r>
              <w:rPr>
                <w:rFonts w:ascii="Cambria" w:hAnsi="Cambria" w:cs="Calibri"/>
                <w:color w:val="000000"/>
              </w:rPr>
              <w:t>€</w:t>
            </w:r>
            <w:r w:rsidRPr="001065FA">
              <w:rPr>
                <w:rFonts w:asciiTheme="majorHAnsi" w:hAnsiTheme="majorHAnsi" w:cs="Calibri"/>
                <w:color w:val="000000"/>
              </w:rPr>
              <w:t xml:space="preserve">  </w:t>
            </w:r>
          </w:p>
        </w:tc>
        <w:tc>
          <w:tcPr>
            <w:tcW w:w="1276" w:type="dxa"/>
            <w:tcBorders>
              <w:top w:val="nil"/>
              <w:left w:val="nil"/>
              <w:bottom w:val="single" w:sz="4" w:space="0" w:color="auto"/>
              <w:right w:val="single" w:sz="4" w:space="0" w:color="auto"/>
            </w:tcBorders>
            <w:vAlign w:val="center"/>
            <w:hideMark/>
          </w:tcPr>
          <w:p w14:paraId="5292AC19" w14:textId="77777777" w:rsidR="001065FA" w:rsidRPr="001065FA" w:rsidRDefault="001065FA" w:rsidP="00AE4169">
            <w:pPr>
              <w:jc w:val="center"/>
              <w:rPr>
                <w:rFonts w:asciiTheme="majorHAnsi" w:hAnsiTheme="majorHAnsi" w:cs="Calibri"/>
                <w:color w:val="000000"/>
              </w:rPr>
            </w:pPr>
            <w:r w:rsidRPr="001065FA">
              <w:rPr>
                <w:rFonts w:asciiTheme="majorHAnsi" w:hAnsiTheme="majorHAnsi" w:cs="Calibri"/>
                <w:color w:val="000000"/>
              </w:rPr>
              <w:t>Izvor financiranja</w:t>
            </w:r>
          </w:p>
        </w:tc>
      </w:tr>
      <w:tr w:rsidR="001065FA" w:rsidRPr="001065FA" w14:paraId="5608A9BC" w14:textId="77777777" w:rsidTr="001065FA">
        <w:trPr>
          <w:trHeight w:val="972"/>
        </w:trPr>
        <w:tc>
          <w:tcPr>
            <w:tcW w:w="383" w:type="dxa"/>
            <w:tcBorders>
              <w:top w:val="nil"/>
              <w:left w:val="single" w:sz="4" w:space="0" w:color="auto"/>
              <w:bottom w:val="single" w:sz="4" w:space="0" w:color="auto"/>
              <w:right w:val="single" w:sz="4" w:space="0" w:color="auto"/>
            </w:tcBorders>
            <w:vAlign w:val="center"/>
            <w:hideMark/>
          </w:tcPr>
          <w:p w14:paraId="576E249B" w14:textId="77777777" w:rsidR="001065FA" w:rsidRPr="001065FA" w:rsidRDefault="001065FA" w:rsidP="001065FA">
            <w:pPr>
              <w:jc w:val="center"/>
              <w:rPr>
                <w:rFonts w:asciiTheme="majorHAnsi" w:hAnsiTheme="majorHAnsi" w:cs="Calibri"/>
                <w:color w:val="000000"/>
              </w:rPr>
            </w:pPr>
            <w:r w:rsidRPr="001065FA">
              <w:rPr>
                <w:rFonts w:asciiTheme="majorHAnsi" w:hAnsiTheme="majorHAnsi" w:cs="Calibri"/>
                <w:color w:val="000000"/>
              </w:rPr>
              <w:t>1.</w:t>
            </w:r>
          </w:p>
        </w:tc>
        <w:tc>
          <w:tcPr>
            <w:tcW w:w="2119" w:type="dxa"/>
            <w:tcBorders>
              <w:top w:val="nil"/>
              <w:left w:val="nil"/>
              <w:bottom w:val="single" w:sz="4" w:space="0" w:color="auto"/>
              <w:right w:val="single" w:sz="4" w:space="0" w:color="auto"/>
            </w:tcBorders>
            <w:vAlign w:val="center"/>
            <w:hideMark/>
          </w:tcPr>
          <w:p w14:paraId="377F32B7" w14:textId="77777777" w:rsidR="001065FA" w:rsidRPr="001065FA" w:rsidRDefault="001065FA" w:rsidP="001065FA">
            <w:pPr>
              <w:rPr>
                <w:rFonts w:asciiTheme="majorHAnsi" w:hAnsiTheme="majorHAnsi" w:cs="Calibri"/>
                <w:color w:val="000000"/>
              </w:rPr>
            </w:pPr>
            <w:r w:rsidRPr="001065FA">
              <w:rPr>
                <w:rFonts w:asciiTheme="majorHAnsi" w:hAnsiTheme="majorHAnsi" w:cs="Calibri"/>
                <w:color w:val="000000"/>
              </w:rPr>
              <w:t>ODRŽAVANJE NERAZVRSTANIH CESTA</w:t>
            </w:r>
          </w:p>
        </w:tc>
        <w:tc>
          <w:tcPr>
            <w:tcW w:w="1124" w:type="dxa"/>
            <w:tcBorders>
              <w:top w:val="nil"/>
              <w:left w:val="nil"/>
              <w:bottom w:val="single" w:sz="4" w:space="0" w:color="auto"/>
              <w:right w:val="single" w:sz="4" w:space="0" w:color="auto"/>
            </w:tcBorders>
            <w:vAlign w:val="center"/>
            <w:hideMark/>
          </w:tcPr>
          <w:p w14:paraId="25C9593E" w14:textId="77777777" w:rsidR="001065FA" w:rsidRPr="001065FA" w:rsidRDefault="001065FA" w:rsidP="001065FA">
            <w:pPr>
              <w:jc w:val="center"/>
              <w:rPr>
                <w:rFonts w:asciiTheme="majorHAnsi" w:hAnsiTheme="majorHAnsi" w:cs="Calibri"/>
                <w:color w:val="000000"/>
                <w:sz w:val="20"/>
                <w:szCs w:val="20"/>
              </w:rPr>
            </w:pPr>
            <w:r w:rsidRPr="001065FA">
              <w:rPr>
                <w:rFonts w:asciiTheme="majorHAnsi" w:hAnsiTheme="majorHAnsi" w:cs="Calibri"/>
                <w:color w:val="000000"/>
                <w:sz w:val="20"/>
                <w:szCs w:val="20"/>
              </w:rPr>
              <w:t>A100086</w:t>
            </w:r>
          </w:p>
        </w:tc>
        <w:tc>
          <w:tcPr>
            <w:tcW w:w="1661" w:type="dxa"/>
            <w:tcBorders>
              <w:top w:val="nil"/>
              <w:left w:val="nil"/>
              <w:bottom w:val="single" w:sz="4" w:space="0" w:color="auto"/>
              <w:right w:val="single" w:sz="4" w:space="0" w:color="auto"/>
            </w:tcBorders>
            <w:vAlign w:val="center"/>
          </w:tcPr>
          <w:p w14:paraId="3871734B" w14:textId="41470028" w:rsidR="001065FA" w:rsidRPr="001065FA" w:rsidRDefault="001065FA" w:rsidP="001065FA">
            <w:pPr>
              <w:jc w:val="center"/>
              <w:rPr>
                <w:rFonts w:asciiTheme="majorHAnsi" w:hAnsiTheme="majorHAnsi" w:cs="Calibri"/>
                <w:b/>
                <w:bCs/>
                <w:color w:val="000000"/>
              </w:rPr>
            </w:pPr>
            <w:r w:rsidRPr="001065FA">
              <w:rPr>
                <w:rFonts w:asciiTheme="majorHAnsi" w:hAnsiTheme="majorHAnsi" w:cs="Calibri"/>
                <w:b/>
                <w:bCs/>
                <w:color w:val="000000"/>
              </w:rPr>
              <w:t>90.000,00</w:t>
            </w:r>
          </w:p>
        </w:tc>
        <w:tc>
          <w:tcPr>
            <w:tcW w:w="1616" w:type="dxa"/>
            <w:tcBorders>
              <w:top w:val="nil"/>
              <w:left w:val="nil"/>
              <w:bottom w:val="single" w:sz="4" w:space="0" w:color="auto"/>
              <w:right w:val="single" w:sz="4" w:space="0" w:color="auto"/>
            </w:tcBorders>
            <w:vAlign w:val="center"/>
          </w:tcPr>
          <w:p w14:paraId="7360E0EE" w14:textId="3E989B9D" w:rsidR="001065FA" w:rsidRPr="001065FA" w:rsidRDefault="001065FA" w:rsidP="001065FA">
            <w:pPr>
              <w:jc w:val="center"/>
              <w:rPr>
                <w:rFonts w:asciiTheme="majorHAnsi" w:hAnsiTheme="majorHAnsi" w:cs="Calibri"/>
                <w:b/>
                <w:bCs/>
                <w:color w:val="000000"/>
              </w:rPr>
            </w:pPr>
            <w:r w:rsidRPr="001065FA">
              <w:rPr>
                <w:rFonts w:asciiTheme="majorHAnsi" w:hAnsiTheme="majorHAnsi" w:cs="Calibri"/>
                <w:b/>
                <w:bCs/>
              </w:rPr>
              <w:t>165.000,00</w:t>
            </w:r>
          </w:p>
        </w:tc>
        <w:tc>
          <w:tcPr>
            <w:tcW w:w="1597" w:type="dxa"/>
            <w:tcBorders>
              <w:top w:val="nil"/>
              <w:left w:val="nil"/>
              <w:bottom w:val="single" w:sz="4" w:space="0" w:color="auto"/>
              <w:right w:val="single" w:sz="4" w:space="0" w:color="auto"/>
            </w:tcBorders>
            <w:vAlign w:val="center"/>
          </w:tcPr>
          <w:p w14:paraId="66A1FEBF" w14:textId="4E068C56" w:rsidR="001065FA" w:rsidRPr="001065FA" w:rsidRDefault="001065FA" w:rsidP="001065FA">
            <w:pPr>
              <w:jc w:val="center"/>
              <w:rPr>
                <w:rFonts w:asciiTheme="majorHAnsi" w:hAnsiTheme="majorHAnsi" w:cs="Calibri"/>
                <w:b/>
                <w:bCs/>
                <w:color w:val="000000"/>
              </w:rPr>
            </w:pPr>
            <w:r>
              <w:rPr>
                <w:rFonts w:asciiTheme="majorHAnsi" w:hAnsiTheme="majorHAnsi" w:cs="Calibri"/>
                <w:b/>
                <w:bCs/>
                <w:color w:val="000000"/>
              </w:rPr>
              <w:t>170.240,00</w:t>
            </w:r>
          </w:p>
        </w:tc>
        <w:tc>
          <w:tcPr>
            <w:tcW w:w="1276" w:type="dxa"/>
            <w:tcBorders>
              <w:top w:val="nil"/>
              <w:left w:val="nil"/>
              <w:bottom w:val="single" w:sz="4" w:space="0" w:color="auto"/>
              <w:right w:val="single" w:sz="4" w:space="0" w:color="auto"/>
            </w:tcBorders>
            <w:vAlign w:val="center"/>
            <w:hideMark/>
          </w:tcPr>
          <w:p w14:paraId="6FB6E1FD" w14:textId="77777777" w:rsidR="001065FA" w:rsidRPr="001065FA" w:rsidRDefault="001065FA" w:rsidP="001065FA">
            <w:pPr>
              <w:jc w:val="center"/>
              <w:rPr>
                <w:rFonts w:asciiTheme="majorHAnsi" w:hAnsiTheme="majorHAnsi" w:cs="Calibri"/>
                <w:color w:val="000000"/>
                <w:sz w:val="20"/>
                <w:szCs w:val="20"/>
              </w:rPr>
            </w:pPr>
            <w:r w:rsidRPr="001065FA">
              <w:rPr>
                <w:rFonts w:asciiTheme="majorHAnsi" w:hAnsiTheme="majorHAnsi" w:cs="Calibri"/>
                <w:color w:val="000000"/>
                <w:sz w:val="20"/>
                <w:szCs w:val="20"/>
              </w:rPr>
              <w:t>1.1.-opći prihodi i primici</w:t>
            </w:r>
          </w:p>
        </w:tc>
      </w:tr>
      <w:tr w:rsidR="001065FA" w:rsidRPr="001065FA" w14:paraId="4BAA8479" w14:textId="77777777" w:rsidTr="00D07FBD">
        <w:trPr>
          <w:trHeight w:val="1128"/>
        </w:trPr>
        <w:tc>
          <w:tcPr>
            <w:tcW w:w="383" w:type="dxa"/>
            <w:tcBorders>
              <w:top w:val="nil"/>
              <w:left w:val="single" w:sz="4" w:space="0" w:color="auto"/>
              <w:bottom w:val="single" w:sz="4" w:space="0" w:color="auto"/>
              <w:right w:val="single" w:sz="4" w:space="0" w:color="auto"/>
            </w:tcBorders>
            <w:vAlign w:val="center"/>
            <w:hideMark/>
          </w:tcPr>
          <w:p w14:paraId="256470D5" w14:textId="77777777" w:rsidR="001065FA" w:rsidRPr="001065FA" w:rsidRDefault="001065FA" w:rsidP="001065FA">
            <w:pPr>
              <w:jc w:val="center"/>
              <w:rPr>
                <w:rFonts w:asciiTheme="majorHAnsi" w:hAnsiTheme="majorHAnsi" w:cs="Calibri"/>
                <w:color w:val="000000"/>
              </w:rPr>
            </w:pPr>
            <w:r w:rsidRPr="001065FA">
              <w:rPr>
                <w:rFonts w:asciiTheme="majorHAnsi" w:hAnsiTheme="majorHAnsi" w:cs="Calibri"/>
                <w:color w:val="000000"/>
              </w:rPr>
              <w:t>2.</w:t>
            </w:r>
          </w:p>
        </w:tc>
        <w:tc>
          <w:tcPr>
            <w:tcW w:w="2119" w:type="dxa"/>
            <w:tcBorders>
              <w:top w:val="nil"/>
              <w:left w:val="nil"/>
              <w:bottom w:val="single" w:sz="4" w:space="0" w:color="auto"/>
              <w:right w:val="single" w:sz="4" w:space="0" w:color="auto"/>
            </w:tcBorders>
            <w:vAlign w:val="center"/>
            <w:hideMark/>
          </w:tcPr>
          <w:p w14:paraId="19496590" w14:textId="77777777" w:rsidR="001065FA" w:rsidRPr="001065FA" w:rsidRDefault="001065FA" w:rsidP="001065FA">
            <w:pPr>
              <w:rPr>
                <w:rFonts w:asciiTheme="majorHAnsi" w:hAnsiTheme="majorHAnsi" w:cs="Calibri"/>
                <w:color w:val="000000"/>
              </w:rPr>
            </w:pPr>
            <w:r w:rsidRPr="001065FA">
              <w:rPr>
                <w:rFonts w:asciiTheme="majorHAnsi" w:hAnsiTheme="majorHAnsi" w:cs="Calibri"/>
                <w:color w:val="000000"/>
              </w:rPr>
              <w:t>ODRŽAVANJE JAVNIH POVRŠINA NA KOJIMA NIJE DOPUŠTEN PROMET MOTORNIM VOZILIMA</w:t>
            </w:r>
          </w:p>
        </w:tc>
        <w:tc>
          <w:tcPr>
            <w:tcW w:w="1124" w:type="dxa"/>
            <w:tcBorders>
              <w:top w:val="nil"/>
              <w:left w:val="nil"/>
              <w:bottom w:val="single" w:sz="4" w:space="0" w:color="auto"/>
              <w:right w:val="single" w:sz="4" w:space="0" w:color="auto"/>
            </w:tcBorders>
            <w:vAlign w:val="center"/>
            <w:hideMark/>
          </w:tcPr>
          <w:p w14:paraId="2FC9F20C" w14:textId="77777777" w:rsidR="001065FA" w:rsidRPr="001065FA" w:rsidRDefault="001065FA" w:rsidP="001065FA">
            <w:pPr>
              <w:jc w:val="center"/>
              <w:rPr>
                <w:rFonts w:asciiTheme="majorHAnsi" w:hAnsiTheme="majorHAnsi" w:cs="Calibri"/>
                <w:color w:val="000000"/>
                <w:sz w:val="20"/>
                <w:szCs w:val="20"/>
              </w:rPr>
            </w:pPr>
            <w:r w:rsidRPr="001065FA">
              <w:rPr>
                <w:rFonts w:asciiTheme="majorHAnsi" w:hAnsiTheme="majorHAnsi" w:cs="Calibri"/>
                <w:color w:val="000000"/>
                <w:sz w:val="20"/>
                <w:szCs w:val="20"/>
              </w:rPr>
              <w:t>A100087</w:t>
            </w:r>
          </w:p>
        </w:tc>
        <w:tc>
          <w:tcPr>
            <w:tcW w:w="1661" w:type="dxa"/>
            <w:tcBorders>
              <w:top w:val="nil"/>
              <w:left w:val="nil"/>
              <w:bottom w:val="single" w:sz="4" w:space="0" w:color="auto"/>
              <w:right w:val="single" w:sz="4" w:space="0" w:color="auto"/>
            </w:tcBorders>
            <w:vAlign w:val="center"/>
          </w:tcPr>
          <w:p w14:paraId="71577AB1" w14:textId="7EFBBD9B" w:rsidR="001065FA" w:rsidRPr="001065FA" w:rsidRDefault="001065FA" w:rsidP="001065FA">
            <w:pPr>
              <w:jc w:val="center"/>
              <w:rPr>
                <w:rFonts w:asciiTheme="majorHAnsi" w:hAnsiTheme="majorHAnsi" w:cs="Calibri"/>
                <w:b/>
                <w:bCs/>
                <w:color w:val="000000"/>
              </w:rPr>
            </w:pPr>
            <w:r w:rsidRPr="001065FA">
              <w:rPr>
                <w:rFonts w:asciiTheme="majorHAnsi" w:hAnsiTheme="majorHAnsi" w:cs="Calibri"/>
                <w:b/>
                <w:bCs/>
                <w:color w:val="000000"/>
              </w:rPr>
              <w:t>60.000,00</w:t>
            </w:r>
          </w:p>
        </w:tc>
        <w:tc>
          <w:tcPr>
            <w:tcW w:w="1616" w:type="dxa"/>
            <w:tcBorders>
              <w:top w:val="nil"/>
              <w:left w:val="nil"/>
              <w:bottom w:val="single" w:sz="4" w:space="0" w:color="auto"/>
              <w:right w:val="single" w:sz="4" w:space="0" w:color="auto"/>
            </w:tcBorders>
            <w:vAlign w:val="center"/>
          </w:tcPr>
          <w:p w14:paraId="440ACB51" w14:textId="542AC76F" w:rsidR="001065FA" w:rsidRPr="001065FA" w:rsidRDefault="001065FA" w:rsidP="001065FA">
            <w:pPr>
              <w:jc w:val="center"/>
              <w:rPr>
                <w:rFonts w:asciiTheme="majorHAnsi" w:hAnsiTheme="majorHAnsi" w:cs="Calibri"/>
                <w:b/>
                <w:bCs/>
                <w:color w:val="000000"/>
              </w:rPr>
            </w:pPr>
            <w:r w:rsidRPr="001065FA">
              <w:rPr>
                <w:rFonts w:asciiTheme="majorHAnsi" w:hAnsiTheme="majorHAnsi" w:cs="Calibri"/>
                <w:b/>
                <w:bCs/>
              </w:rPr>
              <w:t>132.600,00</w:t>
            </w:r>
          </w:p>
        </w:tc>
        <w:tc>
          <w:tcPr>
            <w:tcW w:w="1597" w:type="dxa"/>
            <w:tcBorders>
              <w:top w:val="nil"/>
              <w:left w:val="nil"/>
              <w:bottom w:val="single" w:sz="4" w:space="0" w:color="auto"/>
              <w:right w:val="single" w:sz="4" w:space="0" w:color="auto"/>
            </w:tcBorders>
            <w:vAlign w:val="center"/>
          </w:tcPr>
          <w:p w14:paraId="6D26B55E" w14:textId="12ADFB47" w:rsidR="001065FA" w:rsidRPr="001065FA" w:rsidRDefault="001065FA" w:rsidP="001065FA">
            <w:pPr>
              <w:jc w:val="center"/>
              <w:rPr>
                <w:rFonts w:asciiTheme="majorHAnsi" w:hAnsiTheme="majorHAnsi" w:cs="Calibri"/>
                <w:b/>
                <w:bCs/>
                <w:color w:val="000000"/>
              </w:rPr>
            </w:pPr>
            <w:r>
              <w:rPr>
                <w:rFonts w:asciiTheme="majorHAnsi" w:hAnsiTheme="majorHAnsi" w:cs="Calibri"/>
                <w:b/>
                <w:bCs/>
                <w:color w:val="000000"/>
              </w:rPr>
              <w:t>149.613,26</w:t>
            </w:r>
          </w:p>
        </w:tc>
        <w:tc>
          <w:tcPr>
            <w:tcW w:w="1276" w:type="dxa"/>
            <w:tcBorders>
              <w:top w:val="nil"/>
              <w:left w:val="nil"/>
              <w:bottom w:val="single" w:sz="4" w:space="0" w:color="auto"/>
              <w:right w:val="single" w:sz="4" w:space="0" w:color="auto"/>
            </w:tcBorders>
            <w:vAlign w:val="center"/>
            <w:hideMark/>
          </w:tcPr>
          <w:p w14:paraId="0108DA47" w14:textId="77777777" w:rsidR="001065FA" w:rsidRPr="001065FA" w:rsidRDefault="001065FA" w:rsidP="001065FA">
            <w:pPr>
              <w:jc w:val="center"/>
              <w:rPr>
                <w:rFonts w:asciiTheme="majorHAnsi" w:hAnsiTheme="majorHAnsi" w:cs="Calibri"/>
                <w:color w:val="000000"/>
                <w:sz w:val="20"/>
                <w:szCs w:val="20"/>
              </w:rPr>
            </w:pPr>
            <w:r w:rsidRPr="001065FA">
              <w:rPr>
                <w:rFonts w:asciiTheme="majorHAnsi" w:hAnsiTheme="majorHAnsi" w:cs="Calibri"/>
                <w:color w:val="000000"/>
                <w:sz w:val="20"/>
                <w:szCs w:val="20"/>
              </w:rPr>
              <w:t>4.6.-komunalna naknada</w:t>
            </w:r>
          </w:p>
        </w:tc>
      </w:tr>
      <w:tr w:rsidR="001065FA" w:rsidRPr="001065FA" w14:paraId="7447B563" w14:textId="77777777" w:rsidTr="00D07FBD">
        <w:trPr>
          <w:trHeight w:val="1296"/>
        </w:trPr>
        <w:tc>
          <w:tcPr>
            <w:tcW w:w="383" w:type="dxa"/>
            <w:tcBorders>
              <w:top w:val="single" w:sz="4" w:space="0" w:color="auto"/>
              <w:left w:val="single" w:sz="4" w:space="0" w:color="auto"/>
              <w:bottom w:val="single" w:sz="4" w:space="0" w:color="auto"/>
              <w:right w:val="single" w:sz="4" w:space="0" w:color="auto"/>
            </w:tcBorders>
            <w:vAlign w:val="center"/>
            <w:hideMark/>
          </w:tcPr>
          <w:p w14:paraId="67A8F604" w14:textId="77777777" w:rsidR="001065FA" w:rsidRPr="001065FA" w:rsidRDefault="001065FA" w:rsidP="001065FA">
            <w:pPr>
              <w:jc w:val="center"/>
              <w:rPr>
                <w:rFonts w:asciiTheme="majorHAnsi" w:hAnsiTheme="majorHAnsi" w:cs="Calibri"/>
                <w:color w:val="000000"/>
              </w:rPr>
            </w:pPr>
            <w:r w:rsidRPr="001065FA">
              <w:rPr>
                <w:rFonts w:asciiTheme="majorHAnsi" w:hAnsiTheme="majorHAnsi" w:cs="Calibri"/>
                <w:color w:val="000000"/>
              </w:rPr>
              <w:lastRenderedPageBreak/>
              <w:t>3.</w:t>
            </w:r>
          </w:p>
        </w:tc>
        <w:tc>
          <w:tcPr>
            <w:tcW w:w="2119" w:type="dxa"/>
            <w:tcBorders>
              <w:top w:val="single" w:sz="4" w:space="0" w:color="auto"/>
              <w:left w:val="single" w:sz="4" w:space="0" w:color="auto"/>
              <w:bottom w:val="single" w:sz="4" w:space="0" w:color="auto"/>
              <w:right w:val="single" w:sz="4" w:space="0" w:color="auto"/>
            </w:tcBorders>
            <w:vAlign w:val="center"/>
            <w:hideMark/>
          </w:tcPr>
          <w:p w14:paraId="57F2D783" w14:textId="77777777" w:rsidR="001065FA" w:rsidRPr="001065FA" w:rsidRDefault="001065FA" w:rsidP="001065FA">
            <w:pPr>
              <w:rPr>
                <w:rFonts w:asciiTheme="majorHAnsi" w:hAnsiTheme="majorHAnsi" w:cs="Calibri"/>
                <w:color w:val="000000"/>
              </w:rPr>
            </w:pPr>
            <w:r w:rsidRPr="001065FA">
              <w:rPr>
                <w:rFonts w:asciiTheme="majorHAnsi" w:hAnsiTheme="majorHAnsi" w:cs="Calibri"/>
                <w:color w:val="000000"/>
              </w:rPr>
              <w:t>ODRŽAVANJE GRAĐEVINA JAVNE ODVODNJE OBORINSKIH VODA</w:t>
            </w:r>
          </w:p>
        </w:tc>
        <w:tc>
          <w:tcPr>
            <w:tcW w:w="1124" w:type="dxa"/>
            <w:tcBorders>
              <w:top w:val="single" w:sz="4" w:space="0" w:color="auto"/>
              <w:left w:val="single" w:sz="4" w:space="0" w:color="auto"/>
              <w:bottom w:val="single" w:sz="4" w:space="0" w:color="auto"/>
              <w:right w:val="single" w:sz="4" w:space="0" w:color="auto"/>
            </w:tcBorders>
            <w:vAlign w:val="center"/>
            <w:hideMark/>
          </w:tcPr>
          <w:p w14:paraId="1A429130" w14:textId="77777777" w:rsidR="001065FA" w:rsidRPr="001065FA" w:rsidRDefault="001065FA" w:rsidP="001065FA">
            <w:pPr>
              <w:jc w:val="center"/>
              <w:rPr>
                <w:rFonts w:asciiTheme="majorHAnsi" w:hAnsiTheme="majorHAnsi" w:cs="Calibri"/>
                <w:color w:val="000000"/>
                <w:sz w:val="20"/>
                <w:szCs w:val="20"/>
              </w:rPr>
            </w:pPr>
            <w:r w:rsidRPr="001065FA">
              <w:rPr>
                <w:rFonts w:asciiTheme="majorHAnsi" w:hAnsiTheme="majorHAnsi" w:cs="Calibri"/>
                <w:color w:val="000000"/>
                <w:sz w:val="20"/>
                <w:szCs w:val="20"/>
              </w:rPr>
              <w:t>A100088</w:t>
            </w:r>
          </w:p>
        </w:tc>
        <w:tc>
          <w:tcPr>
            <w:tcW w:w="1661" w:type="dxa"/>
            <w:tcBorders>
              <w:top w:val="single" w:sz="4" w:space="0" w:color="auto"/>
              <w:left w:val="single" w:sz="4" w:space="0" w:color="auto"/>
              <w:bottom w:val="single" w:sz="4" w:space="0" w:color="auto"/>
              <w:right w:val="single" w:sz="4" w:space="0" w:color="auto"/>
            </w:tcBorders>
            <w:vAlign w:val="center"/>
          </w:tcPr>
          <w:p w14:paraId="06C894B0" w14:textId="33E306FB" w:rsidR="001065FA" w:rsidRPr="001065FA" w:rsidRDefault="001065FA" w:rsidP="001065FA">
            <w:pPr>
              <w:jc w:val="center"/>
              <w:rPr>
                <w:rFonts w:asciiTheme="majorHAnsi" w:hAnsiTheme="majorHAnsi" w:cs="Calibri"/>
                <w:b/>
                <w:bCs/>
                <w:color w:val="000000"/>
              </w:rPr>
            </w:pPr>
            <w:r w:rsidRPr="001065FA">
              <w:rPr>
                <w:rFonts w:asciiTheme="majorHAnsi" w:hAnsiTheme="majorHAnsi" w:cs="Calibri"/>
                <w:b/>
                <w:bCs/>
                <w:color w:val="000000"/>
              </w:rPr>
              <w:t>2.000,00</w:t>
            </w:r>
          </w:p>
        </w:tc>
        <w:tc>
          <w:tcPr>
            <w:tcW w:w="1616" w:type="dxa"/>
            <w:tcBorders>
              <w:top w:val="single" w:sz="4" w:space="0" w:color="auto"/>
              <w:left w:val="single" w:sz="4" w:space="0" w:color="auto"/>
              <w:bottom w:val="single" w:sz="4" w:space="0" w:color="auto"/>
              <w:right w:val="single" w:sz="4" w:space="0" w:color="auto"/>
            </w:tcBorders>
            <w:vAlign w:val="center"/>
          </w:tcPr>
          <w:p w14:paraId="57FCEAE5" w14:textId="77D7F1C1" w:rsidR="001065FA" w:rsidRPr="001065FA" w:rsidRDefault="001065FA" w:rsidP="001065FA">
            <w:pPr>
              <w:jc w:val="center"/>
              <w:rPr>
                <w:rFonts w:asciiTheme="majorHAnsi" w:hAnsiTheme="majorHAnsi" w:cs="Calibri"/>
                <w:b/>
                <w:bCs/>
                <w:color w:val="000000"/>
              </w:rPr>
            </w:pPr>
            <w:r w:rsidRPr="001065FA">
              <w:rPr>
                <w:rFonts w:asciiTheme="majorHAnsi" w:hAnsiTheme="majorHAnsi" w:cs="Calibri"/>
                <w:b/>
                <w:bCs/>
              </w:rPr>
              <w:t>7.740,00</w:t>
            </w:r>
          </w:p>
        </w:tc>
        <w:tc>
          <w:tcPr>
            <w:tcW w:w="1597" w:type="dxa"/>
            <w:tcBorders>
              <w:top w:val="single" w:sz="4" w:space="0" w:color="auto"/>
              <w:left w:val="single" w:sz="4" w:space="0" w:color="auto"/>
              <w:bottom w:val="single" w:sz="4" w:space="0" w:color="auto"/>
              <w:right w:val="single" w:sz="4" w:space="0" w:color="auto"/>
            </w:tcBorders>
            <w:vAlign w:val="center"/>
          </w:tcPr>
          <w:p w14:paraId="1CCC2D8F" w14:textId="74B293EF" w:rsidR="001065FA" w:rsidRPr="001065FA" w:rsidRDefault="001065FA" w:rsidP="001065FA">
            <w:pPr>
              <w:jc w:val="center"/>
              <w:rPr>
                <w:rFonts w:asciiTheme="majorHAnsi" w:hAnsiTheme="majorHAnsi" w:cs="Calibri"/>
                <w:b/>
                <w:bCs/>
                <w:color w:val="000000"/>
              </w:rPr>
            </w:pPr>
            <w:r>
              <w:rPr>
                <w:rFonts w:asciiTheme="majorHAnsi" w:hAnsiTheme="majorHAnsi" w:cs="Calibri"/>
                <w:b/>
                <w:bCs/>
                <w:color w:val="000000"/>
              </w:rPr>
              <w:t>7.688,47</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FFC7CAC" w14:textId="77777777" w:rsidR="001065FA" w:rsidRPr="001065FA" w:rsidRDefault="001065FA" w:rsidP="001065FA">
            <w:pPr>
              <w:jc w:val="center"/>
              <w:rPr>
                <w:rFonts w:asciiTheme="majorHAnsi" w:hAnsiTheme="majorHAnsi" w:cs="Calibri"/>
                <w:color w:val="000000"/>
                <w:sz w:val="20"/>
                <w:szCs w:val="20"/>
              </w:rPr>
            </w:pPr>
            <w:r w:rsidRPr="001065FA">
              <w:rPr>
                <w:rFonts w:asciiTheme="majorHAnsi" w:hAnsiTheme="majorHAnsi" w:cs="Calibri"/>
                <w:color w:val="000000"/>
                <w:sz w:val="20"/>
                <w:szCs w:val="20"/>
              </w:rPr>
              <w:t>4.6.-komunalna naknada</w:t>
            </w:r>
          </w:p>
        </w:tc>
      </w:tr>
      <w:tr w:rsidR="001065FA" w:rsidRPr="001065FA" w14:paraId="3409371D" w14:textId="77777777" w:rsidTr="00D07FBD">
        <w:trPr>
          <w:trHeight w:val="566"/>
        </w:trPr>
        <w:tc>
          <w:tcPr>
            <w:tcW w:w="383" w:type="dxa"/>
            <w:vMerge w:val="restart"/>
            <w:tcBorders>
              <w:top w:val="single" w:sz="4" w:space="0" w:color="auto"/>
              <w:left w:val="single" w:sz="4" w:space="0" w:color="auto"/>
              <w:bottom w:val="single" w:sz="4" w:space="0" w:color="auto"/>
              <w:right w:val="single" w:sz="4" w:space="0" w:color="auto"/>
            </w:tcBorders>
            <w:vAlign w:val="center"/>
            <w:hideMark/>
          </w:tcPr>
          <w:p w14:paraId="7E068E2C" w14:textId="77777777" w:rsidR="001065FA" w:rsidRPr="001065FA" w:rsidRDefault="001065FA" w:rsidP="001065FA">
            <w:pPr>
              <w:jc w:val="center"/>
              <w:rPr>
                <w:rFonts w:asciiTheme="majorHAnsi" w:hAnsiTheme="majorHAnsi" w:cs="Calibri"/>
                <w:color w:val="000000"/>
              </w:rPr>
            </w:pPr>
            <w:r w:rsidRPr="001065FA">
              <w:rPr>
                <w:rFonts w:asciiTheme="majorHAnsi" w:hAnsiTheme="majorHAnsi" w:cs="Calibri"/>
                <w:color w:val="000000"/>
              </w:rPr>
              <w:t>4.</w:t>
            </w:r>
          </w:p>
        </w:tc>
        <w:tc>
          <w:tcPr>
            <w:tcW w:w="2119" w:type="dxa"/>
            <w:vMerge w:val="restart"/>
            <w:tcBorders>
              <w:top w:val="single" w:sz="4" w:space="0" w:color="auto"/>
              <w:left w:val="single" w:sz="4" w:space="0" w:color="auto"/>
              <w:bottom w:val="single" w:sz="4" w:space="0" w:color="auto"/>
              <w:right w:val="single" w:sz="4" w:space="0" w:color="auto"/>
            </w:tcBorders>
            <w:vAlign w:val="center"/>
            <w:hideMark/>
          </w:tcPr>
          <w:p w14:paraId="5C892DE3" w14:textId="77777777" w:rsidR="001065FA" w:rsidRPr="001065FA" w:rsidRDefault="001065FA" w:rsidP="001065FA">
            <w:pPr>
              <w:rPr>
                <w:rFonts w:asciiTheme="majorHAnsi" w:hAnsiTheme="majorHAnsi" w:cs="Calibri"/>
                <w:color w:val="000000"/>
              </w:rPr>
            </w:pPr>
            <w:r w:rsidRPr="001065FA">
              <w:rPr>
                <w:rFonts w:asciiTheme="majorHAnsi" w:hAnsiTheme="majorHAnsi" w:cs="Calibri"/>
                <w:color w:val="000000"/>
              </w:rPr>
              <w:t>ODRŽAVANJE JAVNIH ZELENIH POVRŠINA</w:t>
            </w:r>
          </w:p>
        </w:tc>
        <w:tc>
          <w:tcPr>
            <w:tcW w:w="1124" w:type="dxa"/>
            <w:vMerge w:val="restart"/>
            <w:tcBorders>
              <w:top w:val="single" w:sz="4" w:space="0" w:color="auto"/>
              <w:left w:val="single" w:sz="4" w:space="0" w:color="auto"/>
              <w:bottom w:val="single" w:sz="4" w:space="0" w:color="000000"/>
              <w:right w:val="single" w:sz="4" w:space="0" w:color="auto"/>
            </w:tcBorders>
            <w:vAlign w:val="center"/>
            <w:hideMark/>
          </w:tcPr>
          <w:p w14:paraId="15B239B4" w14:textId="77777777" w:rsidR="001065FA" w:rsidRPr="001065FA" w:rsidRDefault="001065FA" w:rsidP="001065FA">
            <w:pPr>
              <w:jc w:val="center"/>
              <w:rPr>
                <w:rFonts w:asciiTheme="majorHAnsi" w:hAnsiTheme="majorHAnsi" w:cs="Calibri"/>
                <w:color w:val="000000"/>
                <w:sz w:val="20"/>
                <w:szCs w:val="20"/>
              </w:rPr>
            </w:pPr>
            <w:r w:rsidRPr="001065FA">
              <w:rPr>
                <w:rFonts w:asciiTheme="majorHAnsi" w:hAnsiTheme="majorHAnsi" w:cs="Calibri"/>
                <w:color w:val="000000"/>
                <w:sz w:val="20"/>
                <w:szCs w:val="20"/>
              </w:rPr>
              <w:t>A100089</w:t>
            </w:r>
          </w:p>
        </w:tc>
        <w:tc>
          <w:tcPr>
            <w:tcW w:w="1661" w:type="dxa"/>
            <w:tcBorders>
              <w:top w:val="single" w:sz="4" w:space="0" w:color="auto"/>
              <w:left w:val="nil"/>
              <w:bottom w:val="single" w:sz="4" w:space="0" w:color="auto"/>
              <w:right w:val="single" w:sz="4" w:space="0" w:color="auto"/>
            </w:tcBorders>
            <w:vAlign w:val="center"/>
          </w:tcPr>
          <w:p w14:paraId="715C78DE" w14:textId="3DA2DE0A" w:rsidR="001065FA" w:rsidRPr="001065FA" w:rsidRDefault="001065FA" w:rsidP="001065FA">
            <w:pPr>
              <w:jc w:val="center"/>
              <w:rPr>
                <w:rFonts w:asciiTheme="majorHAnsi" w:hAnsiTheme="majorHAnsi" w:cs="Calibri"/>
                <w:b/>
                <w:bCs/>
                <w:color w:val="000000"/>
              </w:rPr>
            </w:pPr>
            <w:r w:rsidRPr="001065FA">
              <w:rPr>
                <w:rFonts w:asciiTheme="majorHAnsi" w:hAnsiTheme="majorHAnsi" w:cs="Calibri"/>
                <w:b/>
                <w:bCs/>
                <w:color w:val="000000"/>
              </w:rPr>
              <w:t>335.812,00</w:t>
            </w:r>
          </w:p>
        </w:tc>
        <w:tc>
          <w:tcPr>
            <w:tcW w:w="1616" w:type="dxa"/>
            <w:tcBorders>
              <w:top w:val="single" w:sz="4" w:space="0" w:color="auto"/>
              <w:left w:val="nil"/>
              <w:bottom w:val="single" w:sz="4" w:space="0" w:color="auto"/>
              <w:right w:val="single" w:sz="4" w:space="0" w:color="auto"/>
            </w:tcBorders>
            <w:vAlign w:val="center"/>
          </w:tcPr>
          <w:p w14:paraId="0395CB9F" w14:textId="07B52017" w:rsidR="001065FA" w:rsidRPr="001065FA" w:rsidRDefault="001065FA" w:rsidP="001065FA">
            <w:pPr>
              <w:jc w:val="center"/>
              <w:rPr>
                <w:rFonts w:asciiTheme="majorHAnsi" w:hAnsiTheme="majorHAnsi" w:cs="Calibri"/>
                <w:b/>
                <w:bCs/>
                <w:color w:val="000000"/>
              </w:rPr>
            </w:pPr>
            <w:r w:rsidRPr="001065FA">
              <w:rPr>
                <w:rFonts w:asciiTheme="majorHAnsi" w:hAnsiTheme="majorHAnsi" w:cs="Calibri"/>
                <w:b/>
                <w:bCs/>
              </w:rPr>
              <w:t>335.812,00</w:t>
            </w:r>
          </w:p>
        </w:tc>
        <w:tc>
          <w:tcPr>
            <w:tcW w:w="1597" w:type="dxa"/>
            <w:tcBorders>
              <w:top w:val="single" w:sz="4" w:space="0" w:color="auto"/>
              <w:left w:val="nil"/>
              <w:bottom w:val="single" w:sz="4" w:space="0" w:color="auto"/>
              <w:right w:val="single" w:sz="4" w:space="0" w:color="auto"/>
            </w:tcBorders>
            <w:vAlign w:val="center"/>
          </w:tcPr>
          <w:p w14:paraId="24B146B0" w14:textId="3FB39325" w:rsidR="001065FA" w:rsidRPr="001065FA" w:rsidRDefault="001065FA" w:rsidP="001065FA">
            <w:pPr>
              <w:jc w:val="center"/>
              <w:rPr>
                <w:rFonts w:asciiTheme="majorHAnsi" w:hAnsiTheme="majorHAnsi" w:cs="Calibri"/>
                <w:b/>
                <w:bCs/>
                <w:color w:val="000000"/>
              </w:rPr>
            </w:pPr>
            <w:r>
              <w:rPr>
                <w:rFonts w:asciiTheme="majorHAnsi" w:hAnsiTheme="majorHAnsi" w:cs="Calibri"/>
                <w:b/>
                <w:bCs/>
                <w:color w:val="000000"/>
              </w:rPr>
              <w:t>401.021,52</w:t>
            </w:r>
          </w:p>
        </w:tc>
        <w:tc>
          <w:tcPr>
            <w:tcW w:w="1276" w:type="dxa"/>
            <w:tcBorders>
              <w:top w:val="single" w:sz="4" w:space="0" w:color="auto"/>
              <w:left w:val="nil"/>
              <w:bottom w:val="single" w:sz="4" w:space="0" w:color="auto"/>
              <w:right w:val="single" w:sz="4" w:space="0" w:color="auto"/>
            </w:tcBorders>
            <w:vAlign w:val="center"/>
            <w:hideMark/>
          </w:tcPr>
          <w:p w14:paraId="3FF1A30E" w14:textId="0DD2F039" w:rsidR="001065FA" w:rsidRPr="001065FA" w:rsidRDefault="001065FA" w:rsidP="001065FA">
            <w:pPr>
              <w:jc w:val="center"/>
              <w:rPr>
                <w:rFonts w:asciiTheme="majorHAnsi" w:hAnsiTheme="majorHAnsi" w:cs="Calibri"/>
                <w:color w:val="000000"/>
                <w:sz w:val="20"/>
                <w:szCs w:val="20"/>
              </w:rPr>
            </w:pPr>
            <w:r w:rsidRPr="001065FA">
              <w:rPr>
                <w:rFonts w:asciiTheme="majorHAnsi" w:hAnsiTheme="majorHAnsi" w:cs="Calibri"/>
                <w:color w:val="000000"/>
                <w:sz w:val="20"/>
                <w:szCs w:val="20"/>
              </w:rPr>
              <w:t>1.1.</w:t>
            </w:r>
            <w:r w:rsidR="00856781">
              <w:rPr>
                <w:rFonts w:asciiTheme="majorHAnsi" w:hAnsiTheme="majorHAnsi" w:cs="Calibri"/>
                <w:color w:val="000000"/>
                <w:sz w:val="20"/>
                <w:szCs w:val="20"/>
              </w:rPr>
              <w:t xml:space="preserve"> </w:t>
            </w:r>
            <w:r w:rsidRPr="001065FA">
              <w:rPr>
                <w:rFonts w:asciiTheme="majorHAnsi" w:hAnsiTheme="majorHAnsi" w:cs="Calibri"/>
                <w:color w:val="000000"/>
                <w:sz w:val="20"/>
                <w:szCs w:val="20"/>
              </w:rPr>
              <w:t>-opći prihodi i primici</w:t>
            </w:r>
          </w:p>
        </w:tc>
      </w:tr>
      <w:tr w:rsidR="001065FA" w:rsidRPr="001065FA" w14:paraId="6CBD672B" w14:textId="77777777" w:rsidTr="001065FA">
        <w:trPr>
          <w:trHeight w:val="283"/>
        </w:trPr>
        <w:tc>
          <w:tcPr>
            <w:tcW w:w="383" w:type="dxa"/>
            <w:vMerge/>
            <w:tcBorders>
              <w:top w:val="nil"/>
              <w:left w:val="single" w:sz="4" w:space="0" w:color="auto"/>
              <w:bottom w:val="single" w:sz="4" w:space="0" w:color="auto"/>
              <w:right w:val="single" w:sz="4" w:space="0" w:color="auto"/>
            </w:tcBorders>
            <w:vAlign w:val="center"/>
            <w:hideMark/>
          </w:tcPr>
          <w:p w14:paraId="60942402" w14:textId="77777777" w:rsidR="001065FA" w:rsidRPr="001065FA" w:rsidRDefault="001065FA" w:rsidP="001065FA">
            <w:pPr>
              <w:rPr>
                <w:rFonts w:asciiTheme="majorHAnsi" w:hAnsiTheme="majorHAnsi" w:cs="Calibri"/>
                <w:color w:val="000000"/>
              </w:rPr>
            </w:pPr>
          </w:p>
        </w:tc>
        <w:tc>
          <w:tcPr>
            <w:tcW w:w="2119" w:type="dxa"/>
            <w:vMerge/>
            <w:tcBorders>
              <w:top w:val="nil"/>
              <w:left w:val="single" w:sz="4" w:space="0" w:color="auto"/>
              <w:bottom w:val="single" w:sz="4" w:space="0" w:color="auto"/>
              <w:right w:val="single" w:sz="4" w:space="0" w:color="auto"/>
            </w:tcBorders>
            <w:vAlign w:val="center"/>
            <w:hideMark/>
          </w:tcPr>
          <w:p w14:paraId="2E363DB7" w14:textId="77777777" w:rsidR="001065FA" w:rsidRPr="001065FA" w:rsidRDefault="001065FA" w:rsidP="001065FA">
            <w:pPr>
              <w:rPr>
                <w:rFonts w:asciiTheme="majorHAnsi" w:hAnsiTheme="majorHAnsi" w:cs="Calibri"/>
                <w:color w:val="000000"/>
              </w:rPr>
            </w:pPr>
          </w:p>
        </w:tc>
        <w:tc>
          <w:tcPr>
            <w:tcW w:w="1124" w:type="dxa"/>
            <w:vMerge/>
            <w:tcBorders>
              <w:top w:val="nil"/>
              <w:left w:val="single" w:sz="4" w:space="0" w:color="auto"/>
              <w:bottom w:val="single" w:sz="4" w:space="0" w:color="000000"/>
              <w:right w:val="single" w:sz="4" w:space="0" w:color="auto"/>
            </w:tcBorders>
            <w:vAlign w:val="center"/>
            <w:hideMark/>
          </w:tcPr>
          <w:p w14:paraId="71EA58EA" w14:textId="77777777" w:rsidR="001065FA" w:rsidRPr="001065FA" w:rsidRDefault="001065FA" w:rsidP="001065FA">
            <w:pPr>
              <w:rPr>
                <w:rFonts w:asciiTheme="majorHAnsi" w:hAnsiTheme="majorHAnsi" w:cs="Calibri"/>
                <w:color w:val="000000"/>
                <w:sz w:val="20"/>
                <w:szCs w:val="20"/>
              </w:rPr>
            </w:pPr>
          </w:p>
        </w:tc>
        <w:tc>
          <w:tcPr>
            <w:tcW w:w="1661" w:type="dxa"/>
            <w:tcBorders>
              <w:top w:val="nil"/>
              <w:left w:val="nil"/>
              <w:bottom w:val="single" w:sz="4" w:space="0" w:color="auto"/>
              <w:right w:val="single" w:sz="4" w:space="0" w:color="auto"/>
            </w:tcBorders>
            <w:vAlign w:val="center"/>
          </w:tcPr>
          <w:p w14:paraId="4661F521" w14:textId="5C1310FD" w:rsidR="001065FA" w:rsidRPr="001065FA" w:rsidRDefault="001065FA" w:rsidP="001065FA">
            <w:pPr>
              <w:jc w:val="center"/>
              <w:rPr>
                <w:rFonts w:asciiTheme="majorHAnsi" w:hAnsiTheme="majorHAnsi" w:cs="Calibri"/>
                <w:b/>
                <w:bCs/>
                <w:color w:val="000000"/>
              </w:rPr>
            </w:pPr>
            <w:r w:rsidRPr="001065FA">
              <w:rPr>
                <w:rFonts w:asciiTheme="majorHAnsi" w:hAnsiTheme="majorHAnsi" w:cs="Calibri"/>
                <w:b/>
                <w:bCs/>
                <w:color w:val="000000"/>
              </w:rPr>
              <w:t>10.000,00</w:t>
            </w:r>
          </w:p>
        </w:tc>
        <w:tc>
          <w:tcPr>
            <w:tcW w:w="1616" w:type="dxa"/>
            <w:tcBorders>
              <w:top w:val="nil"/>
              <w:left w:val="nil"/>
              <w:bottom w:val="single" w:sz="4" w:space="0" w:color="auto"/>
              <w:right w:val="single" w:sz="4" w:space="0" w:color="auto"/>
            </w:tcBorders>
            <w:vAlign w:val="center"/>
          </w:tcPr>
          <w:p w14:paraId="3705D106" w14:textId="7A2ABBE3" w:rsidR="001065FA" w:rsidRPr="001065FA" w:rsidRDefault="001065FA" w:rsidP="001065FA">
            <w:pPr>
              <w:jc w:val="center"/>
              <w:rPr>
                <w:rFonts w:asciiTheme="majorHAnsi" w:hAnsiTheme="majorHAnsi" w:cs="Calibri"/>
                <w:b/>
                <w:bCs/>
                <w:color w:val="000000"/>
              </w:rPr>
            </w:pPr>
            <w:r w:rsidRPr="001065FA">
              <w:rPr>
                <w:rFonts w:asciiTheme="majorHAnsi" w:hAnsiTheme="majorHAnsi" w:cs="Calibri"/>
                <w:b/>
                <w:bCs/>
              </w:rPr>
              <w:t>26.000,00</w:t>
            </w:r>
          </w:p>
        </w:tc>
        <w:tc>
          <w:tcPr>
            <w:tcW w:w="1597" w:type="dxa"/>
            <w:tcBorders>
              <w:top w:val="nil"/>
              <w:left w:val="nil"/>
              <w:bottom w:val="single" w:sz="4" w:space="0" w:color="auto"/>
              <w:right w:val="single" w:sz="4" w:space="0" w:color="auto"/>
            </w:tcBorders>
            <w:vAlign w:val="center"/>
          </w:tcPr>
          <w:p w14:paraId="7530AB71" w14:textId="08C9666E" w:rsidR="001065FA" w:rsidRPr="001065FA" w:rsidRDefault="001065FA" w:rsidP="001065FA">
            <w:pPr>
              <w:jc w:val="center"/>
              <w:rPr>
                <w:rFonts w:asciiTheme="majorHAnsi" w:hAnsiTheme="majorHAnsi" w:cs="Calibri"/>
                <w:b/>
                <w:bCs/>
                <w:color w:val="000000"/>
              </w:rPr>
            </w:pPr>
            <w:r>
              <w:rPr>
                <w:rFonts w:asciiTheme="majorHAnsi" w:hAnsiTheme="majorHAnsi" w:cs="Calibri"/>
                <w:b/>
                <w:bCs/>
                <w:color w:val="000000"/>
              </w:rPr>
              <w:t>25.970,90</w:t>
            </w:r>
          </w:p>
        </w:tc>
        <w:tc>
          <w:tcPr>
            <w:tcW w:w="1276" w:type="dxa"/>
            <w:tcBorders>
              <w:top w:val="nil"/>
              <w:left w:val="nil"/>
              <w:bottom w:val="single" w:sz="4" w:space="0" w:color="auto"/>
              <w:right w:val="single" w:sz="4" w:space="0" w:color="auto"/>
            </w:tcBorders>
            <w:vAlign w:val="center"/>
            <w:hideMark/>
          </w:tcPr>
          <w:p w14:paraId="672E0D34" w14:textId="3F748B3F" w:rsidR="001065FA" w:rsidRPr="001065FA" w:rsidRDefault="001065FA" w:rsidP="001065FA">
            <w:pPr>
              <w:jc w:val="center"/>
              <w:rPr>
                <w:rFonts w:asciiTheme="majorHAnsi" w:hAnsiTheme="majorHAnsi" w:cs="Calibri"/>
                <w:color w:val="000000"/>
                <w:sz w:val="20"/>
                <w:szCs w:val="20"/>
              </w:rPr>
            </w:pPr>
            <w:r w:rsidRPr="001065FA">
              <w:rPr>
                <w:rFonts w:asciiTheme="majorHAnsi" w:hAnsiTheme="majorHAnsi" w:cs="Calibri"/>
                <w:color w:val="000000"/>
                <w:sz w:val="20"/>
                <w:szCs w:val="20"/>
              </w:rPr>
              <w:t>4.5.</w:t>
            </w:r>
            <w:r w:rsidR="00856781">
              <w:rPr>
                <w:rFonts w:asciiTheme="majorHAnsi" w:hAnsiTheme="majorHAnsi" w:cs="Calibri"/>
                <w:color w:val="000000"/>
                <w:sz w:val="20"/>
                <w:szCs w:val="20"/>
              </w:rPr>
              <w:t xml:space="preserve"> </w:t>
            </w:r>
            <w:r w:rsidRPr="001065FA">
              <w:rPr>
                <w:rFonts w:asciiTheme="majorHAnsi" w:hAnsiTheme="majorHAnsi" w:cs="Calibri"/>
                <w:color w:val="000000"/>
                <w:sz w:val="20"/>
                <w:szCs w:val="20"/>
              </w:rPr>
              <w:t>-</w:t>
            </w:r>
            <w:r w:rsidR="00856781">
              <w:rPr>
                <w:rFonts w:asciiTheme="majorHAnsi" w:hAnsiTheme="majorHAnsi" w:cs="Calibri"/>
                <w:color w:val="000000"/>
                <w:sz w:val="20"/>
                <w:szCs w:val="20"/>
              </w:rPr>
              <w:t xml:space="preserve"> </w:t>
            </w:r>
            <w:r w:rsidRPr="001065FA">
              <w:rPr>
                <w:rFonts w:asciiTheme="majorHAnsi" w:hAnsiTheme="majorHAnsi" w:cs="Calibri"/>
                <w:color w:val="000000"/>
                <w:sz w:val="20"/>
                <w:szCs w:val="20"/>
              </w:rPr>
              <w:t xml:space="preserve"> komunalni doprinos</w:t>
            </w:r>
          </w:p>
        </w:tc>
      </w:tr>
      <w:tr w:rsidR="001065FA" w:rsidRPr="001065FA" w14:paraId="50F77980" w14:textId="77777777" w:rsidTr="001065FA">
        <w:trPr>
          <w:trHeight w:val="1265"/>
        </w:trPr>
        <w:tc>
          <w:tcPr>
            <w:tcW w:w="383" w:type="dxa"/>
            <w:tcBorders>
              <w:top w:val="nil"/>
              <w:left w:val="single" w:sz="4" w:space="0" w:color="auto"/>
              <w:bottom w:val="single" w:sz="4" w:space="0" w:color="auto"/>
              <w:right w:val="single" w:sz="4" w:space="0" w:color="auto"/>
            </w:tcBorders>
            <w:vAlign w:val="center"/>
            <w:hideMark/>
          </w:tcPr>
          <w:p w14:paraId="392BD050" w14:textId="77777777" w:rsidR="001065FA" w:rsidRPr="001065FA" w:rsidRDefault="001065FA" w:rsidP="001065FA">
            <w:pPr>
              <w:jc w:val="center"/>
              <w:rPr>
                <w:rFonts w:asciiTheme="majorHAnsi" w:hAnsiTheme="majorHAnsi" w:cs="Calibri"/>
                <w:color w:val="000000"/>
              </w:rPr>
            </w:pPr>
            <w:r w:rsidRPr="001065FA">
              <w:rPr>
                <w:rFonts w:asciiTheme="majorHAnsi" w:hAnsiTheme="majorHAnsi" w:cs="Calibri"/>
                <w:color w:val="000000"/>
              </w:rPr>
              <w:t>5.</w:t>
            </w:r>
          </w:p>
        </w:tc>
        <w:tc>
          <w:tcPr>
            <w:tcW w:w="2119" w:type="dxa"/>
            <w:tcBorders>
              <w:top w:val="nil"/>
              <w:left w:val="nil"/>
              <w:bottom w:val="single" w:sz="4" w:space="0" w:color="auto"/>
              <w:right w:val="single" w:sz="4" w:space="0" w:color="auto"/>
            </w:tcBorders>
            <w:vAlign w:val="center"/>
            <w:hideMark/>
          </w:tcPr>
          <w:p w14:paraId="60E351EB" w14:textId="77777777" w:rsidR="001065FA" w:rsidRPr="001065FA" w:rsidRDefault="001065FA" w:rsidP="001065FA">
            <w:pPr>
              <w:rPr>
                <w:rFonts w:asciiTheme="majorHAnsi" w:hAnsiTheme="majorHAnsi" w:cs="Calibri"/>
                <w:color w:val="000000"/>
              </w:rPr>
            </w:pPr>
            <w:r w:rsidRPr="001065FA">
              <w:rPr>
                <w:rFonts w:asciiTheme="majorHAnsi" w:hAnsiTheme="majorHAnsi" w:cs="Calibri"/>
                <w:color w:val="000000"/>
              </w:rPr>
              <w:t>ODRŽAVANJE GRAĐEVINA I UREĐAJA JAVNE NAMJENE</w:t>
            </w:r>
          </w:p>
        </w:tc>
        <w:tc>
          <w:tcPr>
            <w:tcW w:w="1124" w:type="dxa"/>
            <w:tcBorders>
              <w:top w:val="nil"/>
              <w:left w:val="nil"/>
              <w:bottom w:val="single" w:sz="4" w:space="0" w:color="auto"/>
              <w:right w:val="single" w:sz="4" w:space="0" w:color="auto"/>
            </w:tcBorders>
            <w:vAlign w:val="center"/>
            <w:hideMark/>
          </w:tcPr>
          <w:p w14:paraId="0BCAA1CE" w14:textId="77777777" w:rsidR="001065FA" w:rsidRPr="001065FA" w:rsidRDefault="001065FA" w:rsidP="001065FA">
            <w:pPr>
              <w:jc w:val="center"/>
              <w:rPr>
                <w:rFonts w:asciiTheme="majorHAnsi" w:hAnsiTheme="majorHAnsi" w:cs="Calibri"/>
                <w:color w:val="000000"/>
                <w:sz w:val="20"/>
                <w:szCs w:val="20"/>
              </w:rPr>
            </w:pPr>
            <w:r w:rsidRPr="001065FA">
              <w:rPr>
                <w:rFonts w:asciiTheme="majorHAnsi" w:hAnsiTheme="majorHAnsi" w:cs="Calibri"/>
                <w:color w:val="000000"/>
                <w:sz w:val="20"/>
                <w:szCs w:val="20"/>
              </w:rPr>
              <w:t>A100090</w:t>
            </w:r>
          </w:p>
        </w:tc>
        <w:tc>
          <w:tcPr>
            <w:tcW w:w="1661" w:type="dxa"/>
            <w:tcBorders>
              <w:top w:val="nil"/>
              <w:left w:val="nil"/>
              <w:bottom w:val="single" w:sz="4" w:space="0" w:color="auto"/>
              <w:right w:val="single" w:sz="4" w:space="0" w:color="auto"/>
            </w:tcBorders>
            <w:vAlign w:val="center"/>
          </w:tcPr>
          <w:p w14:paraId="77AE11DB" w14:textId="13BB8E01" w:rsidR="001065FA" w:rsidRPr="001065FA" w:rsidRDefault="001065FA" w:rsidP="001065FA">
            <w:pPr>
              <w:jc w:val="center"/>
              <w:rPr>
                <w:rFonts w:asciiTheme="majorHAnsi" w:hAnsiTheme="majorHAnsi" w:cs="Calibri"/>
                <w:b/>
                <w:bCs/>
                <w:color w:val="000000"/>
              </w:rPr>
            </w:pPr>
            <w:r w:rsidRPr="001065FA">
              <w:rPr>
                <w:rFonts w:asciiTheme="majorHAnsi" w:hAnsiTheme="majorHAnsi" w:cs="Calibri"/>
                <w:b/>
                <w:bCs/>
                <w:color w:val="000000"/>
              </w:rPr>
              <w:t>3.554,00</w:t>
            </w:r>
          </w:p>
        </w:tc>
        <w:tc>
          <w:tcPr>
            <w:tcW w:w="1616" w:type="dxa"/>
            <w:tcBorders>
              <w:top w:val="nil"/>
              <w:left w:val="nil"/>
              <w:bottom w:val="single" w:sz="4" w:space="0" w:color="auto"/>
              <w:right w:val="single" w:sz="4" w:space="0" w:color="auto"/>
            </w:tcBorders>
            <w:vAlign w:val="center"/>
          </w:tcPr>
          <w:p w14:paraId="6BEFFD56" w14:textId="6F74FB36" w:rsidR="001065FA" w:rsidRPr="001065FA" w:rsidRDefault="001065FA" w:rsidP="001065FA">
            <w:pPr>
              <w:jc w:val="center"/>
              <w:rPr>
                <w:rFonts w:asciiTheme="majorHAnsi" w:hAnsiTheme="majorHAnsi" w:cs="Calibri"/>
                <w:b/>
                <w:bCs/>
                <w:color w:val="000000"/>
              </w:rPr>
            </w:pPr>
            <w:r w:rsidRPr="001065FA">
              <w:rPr>
                <w:rFonts w:asciiTheme="majorHAnsi" w:hAnsiTheme="majorHAnsi" w:cs="Calibri"/>
                <w:b/>
                <w:bCs/>
              </w:rPr>
              <w:t>6.554,00</w:t>
            </w:r>
          </w:p>
        </w:tc>
        <w:tc>
          <w:tcPr>
            <w:tcW w:w="1597" w:type="dxa"/>
            <w:tcBorders>
              <w:top w:val="nil"/>
              <w:left w:val="nil"/>
              <w:bottom w:val="single" w:sz="4" w:space="0" w:color="auto"/>
              <w:right w:val="single" w:sz="4" w:space="0" w:color="auto"/>
            </w:tcBorders>
            <w:vAlign w:val="center"/>
          </w:tcPr>
          <w:p w14:paraId="70D6B2F7" w14:textId="79F1CCEE" w:rsidR="001065FA" w:rsidRPr="001065FA" w:rsidRDefault="001065FA" w:rsidP="001065FA">
            <w:pPr>
              <w:jc w:val="center"/>
              <w:rPr>
                <w:rFonts w:asciiTheme="majorHAnsi" w:hAnsiTheme="majorHAnsi" w:cs="Calibri"/>
                <w:b/>
                <w:bCs/>
                <w:color w:val="000000"/>
              </w:rPr>
            </w:pPr>
            <w:r>
              <w:rPr>
                <w:rFonts w:asciiTheme="majorHAnsi" w:hAnsiTheme="majorHAnsi" w:cs="Calibri"/>
                <w:b/>
                <w:bCs/>
                <w:color w:val="000000"/>
              </w:rPr>
              <w:t>10.440,08</w:t>
            </w:r>
          </w:p>
        </w:tc>
        <w:tc>
          <w:tcPr>
            <w:tcW w:w="1276" w:type="dxa"/>
            <w:tcBorders>
              <w:top w:val="nil"/>
              <w:left w:val="nil"/>
              <w:bottom w:val="single" w:sz="4" w:space="0" w:color="auto"/>
              <w:right w:val="single" w:sz="4" w:space="0" w:color="auto"/>
            </w:tcBorders>
            <w:vAlign w:val="center"/>
            <w:hideMark/>
          </w:tcPr>
          <w:p w14:paraId="779CAF21" w14:textId="77777777" w:rsidR="001065FA" w:rsidRPr="001065FA" w:rsidRDefault="001065FA" w:rsidP="001065FA">
            <w:pPr>
              <w:jc w:val="center"/>
              <w:rPr>
                <w:rFonts w:asciiTheme="majorHAnsi" w:hAnsiTheme="majorHAnsi" w:cs="Calibri"/>
                <w:color w:val="000000"/>
                <w:sz w:val="20"/>
                <w:szCs w:val="20"/>
              </w:rPr>
            </w:pPr>
            <w:r w:rsidRPr="001065FA">
              <w:rPr>
                <w:rFonts w:asciiTheme="majorHAnsi" w:hAnsiTheme="majorHAnsi" w:cs="Calibri"/>
                <w:color w:val="000000"/>
                <w:sz w:val="20"/>
                <w:szCs w:val="20"/>
              </w:rPr>
              <w:t>4.6.-komunalna naknada i 7.1. prihod od prodaje nefinancijske imovine</w:t>
            </w:r>
          </w:p>
        </w:tc>
      </w:tr>
      <w:tr w:rsidR="001065FA" w:rsidRPr="001065FA" w14:paraId="61994471" w14:textId="77777777" w:rsidTr="001065FA">
        <w:trPr>
          <w:trHeight w:val="585"/>
        </w:trPr>
        <w:tc>
          <w:tcPr>
            <w:tcW w:w="383" w:type="dxa"/>
            <w:tcBorders>
              <w:top w:val="nil"/>
              <w:left w:val="single" w:sz="4" w:space="0" w:color="auto"/>
              <w:bottom w:val="single" w:sz="4" w:space="0" w:color="auto"/>
              <w:right w:val="single" w:sz="4" w:space="0" w:color="auto"/>
            </w:tcBorders>
            <w:vAlign w:val="center"/>
            <w:hideMark/>
          </w:tcPr>
          <w:p w14:paraId="40FD0EB9" w14:textId="77777777" w:rsidR="001065FA" w:rsidRPr="001065FA" w:rsidRDefault="001065FA" w:rsidP="001065FA">
            <w:pPr>
              <w:jc w:val="center"/>
              <w:rPr>
                <w:rFonts w:asciiTheme="majorHAnsi" w:hAnsiTheme="majorHAnsi" w:cs="Calibri"/>
                <w:color w:val="000000"/>
              </w:rPr>
            </w:pPr>
            <w:r w:rsidRPr="001065FA">
              <w:rPr>
                <w:rFonts w:asciiTheme="majorHAnsi" w:hAnsiTheme="majorHAnsi" w:cs="Calibri"/>
                <w:color w:val="000000"/>
              </w:rPr>
              <w:t>6.</w:t>
            </w:r>
          </w:p>
        </w:tc>
        <w:tc>
          <w:tcPr>
            <w:tcW w:w="2119" w:type="dxa"/>
            <w:tcBorders>
              <w:top w:val="nil"/>
              <w:left w:val="nil"/>
              <w:bottom w:val="single" w:sz="4" w:space="0" w:color="auto"/>
              <w:right w:val="single" w:sz="4" w:space="0" w:color="auto"/>
            </w:tcBorders>
            <w:vAlign w:val="center"/>
            <w:hideMark/>
          </w:tcPr>
          <w:p w14:paraId="472AA646" w14:textId="77777777" w:rsidR="001065FA" w:rsidRPr="001065FA" w:rsidRDefault="001065FA" w:rsidP="001065FA">
            <w:pPr>
              <w:rPr>
                <w:rFonts w:asciiTheme="majorHAnsi" w:hAnsiTheme="majorHAnsi" w:cs="Calibri"/>
                <w:color w:val="000000"/>
              </w:rPr>
            </w:pPr>
            <w:r w:rsidRPr="001065FA">
              <w:rPr>
                <w:rFonts w:asciiTheme="majorHAnsi" w:hAnsiTheme="majorHAnsi" w:cs="Calibri"/>
                <w:color w:val="000000"/>
              </w:rPr>
              <w:t>ODRŽAVANJE GROBLJA</w:t>
            </w:r>
          </w:p>
        </w:tc>
        <w:tc>
          <w:tcPr>
            <w:tcW w:w="1124" w:type="dxa"/>
            <w:tcBorders>
              <w:top w:val="nil"/>
              <w:left w:val="nil"/>
              <w:bottom w:val="single" w:sz="4" w:space="0" w:color="auto"/>
              <w:right w:val="single" w:sz="4" w:space="0" w:color="auto"/>
            </w:tcBorders>
            <w:vAlign w:val="center"/>
            <w:hideMark/>
          </w:tcPr>
          <w:p w14:paraId="4A39A7D1" w14:textId="77777777" w:rsidR="001065FA" w:rsidRPr="001065FA" w:rsidRDefault="001065FA" w:rsidP="001065FA">
            <w:pPr>
              <w:jc w:val="center"/>
              <w:rPr>
                <w:rFonts w:asciiTheme="majorHAnsi" w:hAnsiTheme="majorHAnsi" w:cs="Calibri"/>
                <w:color w:val="000000"/>
                <w:sz w:val="20"/>
                <w:szCs w:val="20"/>
              </w:rPr>
            </w:pPr>
            <w:r w:rsidRPr="001065FA">
              <w:rPr>
                <w:rFonts w:asciiTheme="majorHAnsi" w:hAnsiTheme="majorHAnsi" w:cs="Calibri"/>
                <w:color w:val="000000"/>
                <w:sz w:val="20"/>
                <w:szCs w:val="20"/>
              </w:rPr>
              <w:t>A100091</w:t>
            </w:r>
          </w:p>
        </w:tc>
        <w:tc>
          <w:tcPr>
            <w:tcW w:w="1661" w:type="dxa"/>
            <w:tcBorders>
              <w:top w:val="nil"/>
              <w:left w:val="nil"/>
              <w:bottom w:val="single" w:sz="4" w:space="0" w:color="auto"/>
              <w:right w:val="single" w:sz="4" w:space="0" w:color="auto"/>
            </w:tcBorders>
            <w:vAlign w:val="center"/>
          </w:tcPr>
          <w:p w14:paraId="20E7D558" w14:textId="1E90DCF8" w:rsidR="001065FA" w:rsidRPr="001065FA" w:rsidRDefault="001065FA" w:rsidP="001065FA">
            <w:pPr>
              <w:jc w:val="center"/>
              <w:rPr>
                <w:rFonts w:asciiTheme="majorHAnsi" w:hAnsiTheme="majorHAnsi" w:cs="Calibri"/>
                <w:b/>
                <w:bCs/>
                <w:color w:val="000000"/>
              </w:rPr>
            </w:pPr>
            <w:r w:rsidRPr="001065FA">
              <w:rPr>
                <w:rFonts w:asciiTheme="majorHAnsi" w:hAnsiTheme="majorHAnsi" w:cs="Calibri"/>
                <w:b/>
                <w:bCs/>
                <w:color w:val="000000"/>
              </w:rPr>
              <w:t>2.654,00</w:t>
            </w:r>
          </w:p>
        </w:tc>
        <w:tc>
          <w:tcPr>
            <w:tcW w:w="1616" w:type="dxa"/>
            <w:tcBorders>
              <w:top w:val="nil"/>
              <w:left w:val="nil"/>
              <w:bottom w:val="single" w:sz="4" w:space="0" w:color="auto"/>
              <w:right w:val="single" w:sz="4" w:space="0" w:color="auto"/>
            </w:tcBorders>
            <w:vAlign w:val="center"/>
          </w:tcPr>
          <w:p w14:paraId="78F05154" w14:textId="375C6424" w:rsidR="001065FA" w:rsidRPr="001065FA" w:rsidRDefault="001065FA" w:rsidP="001065FA">
            <w:pPr>
              <w:jc w:val="center"/>
              <w:rPr>
                <w:rFonts w:asciiTheme="majorHAnsi" w:hAnsiTheme="majorHAnsi" w:cs="Calibri"/>
                <w:b/>
                <w:bCs/>
                <w:color w:val="000000"/>
              </w:rPr>
            </w:pPr>
            <w:r w:rsidRPr="001065FA">
              <w:rPr>
                <w:rFonts w:asciiTheme="majorHAnsi" w:hAnsiTheme="majorHAnsi" w:cs="Calibri"/>
                <w:b/>
                <w:bCs/>
              </w:rPr>
              <w:t>0,00</w:t>
            </w:r>
          </w:p>
        </w:tc>
        <w:tc>
          <w:tcPr>
            <w:tcW w:w="1597" w:type="dxa"/>
            <w:tcBorders>
              <w:top w:val="nil"/>
              <w:left w:val="nil"/>
              <w:bottom w:val="single" w:sz="4" w:space="0" w:color="auto"/>
              <w:right w:val="single" w:sz="4" w:space="0" w:color="auto"/>
            </w:tcBorders>
            <w:vAlign w:val="center"/>
          </w:tcPr>
          <w:p w14:paraId="366D04D8" w14:textId="61A017A8" w:rsidR="001065FA" w:rsidRPr="001065FA" w:rsidRDefault="001065FA" w:rsidP="001065FA">
            <w:pPr>
              <w:jc w:val="center"/>
              <w:rPr>
                <w:rFonts w:asciiTheme="majorHAnsi" w:hAnsiTheme="majorHAnsi" w:cs="Calibri"/>
                <w:b/>
                <w:bCs/>
                <w:color w:val="000000"/>
              </w:rPr>
            </w:pPr>
            <w:r>
              <w:rPr>
                <w:rFonts w:asciiTheme="majorHAnsi" w:hAnsiTheme="majorHAnsi" w:cs="Calibri"/>
                <w:b/>
                <w:bCs/>
                <w:color w:val="000000"/>
              </w:rPr>
              <w:t>0,00</w:t>
            </w:r>
          </w:p>
        </w:tc>
        <w:tc>
          <w:tcPr>
            <w:tcW w:w="1276" w:type="dxa"/>
            <w:tcBorders>
              <w:top w:val="nil"/>
              <w:left w:val="nil"/>
              <w:bottom w:val="single" w:sz="4" w:space="0" w:color="auto"/>
              <w:right w:val="single" w:sz="4" w:space="0" w:color="auto"/>
            </w:tcBorders>
            <w:vAlign w:val="center"/>
            <w:hideMark/>
          </w:tcPr>
          <w:p w14:paraId="0F5F99BB" w14:textId="77777777" w:rsidR="001065FA" w:rsidRPr="001065FA" w:rsidRDefault="001065FA" w:rsidP="001065FA">
            <w:pPr>
              <w:jc w:val="center"/>
              <w:rPr>
                <w:rFonts w:asciiTheme="majorHAnsi" w:hAnsiTheme="majorHAnsi" w:cs="Calibri"/>
                <w:color w:val="000000"/>
                <w:sz w:val="20"/>
                <w:szCs w:val="20"/>
              </w:rPr>
            </w:pPr>
            <w:r w:rsidRPr="001065FA">
              <w:rPr>
                <w:rFonts w:asciiTheme="majorHAnsi" w:hAnsiTheme="majorHAnsi" w:cs="Calibri"/>
                <w:color w:val="000000"/>
                <w:sz w:val="20"/>
                <w:szCs w:val="20"/>
              </w:rPr>
              <w:t>4.6.-komunalna naknada</w:t>
            </w:r>
          </w:p>
        </w:tc>
      </w:tr>
      <w:tr w:rsidR="001065FA" w:rsidRPr="001065FA" w14:paraId="7ADB4958" w14:textId="77777777" w:rsidTr="001065FA">
        <w:trPr>
          <w:trHeight w:val="597"/>
        </w:trPr>
        <w:tc>
          <w:tcPr>
            <w:tcW w:w="383" w:type="dxa"/>
            <w:vMerge w:val="restart"/>
            <w:tcBorders>
              <w:top w:val="nil"/>
              <w:left w:val="single" w:sz="4" w:space="0" w:color="auto"/>
              <w:right w:val="single" w:sz="4" w:space="0" w:color="auto"/>
            </w:tcBorders>
            <w:vAlign w:val="center"/>
            <w:hideMark/>
          </w:tcPr>
          <w:p w14:paraId="4FE39504" w14:textId="77777777" w:rsidR="001065FA" w:rsidRPr="001065FA" w:rsidRDefault="001065FA" w:rsidP="001065FA">
            <w:pPr>
              <w:jc w:val="center"/>
              <w:rPr>
                <w:rFonts w:asciiTheme="majorHAnsi" w:hAnsiTheme="majorHAnsi" w:cs="Calibri"/>
                <w:color w:val="000000"/>
              </w:rPr>
            </w:pPr>
            <w:r w:rsidRPr="001065FA">
              <w:rPr>
                <w:rFonts w:asciiTheme="majorHAnsi" w:hAnsiTheme="majorHAnsi" w:cs="Calibri"/>
                <w:color w:val="000000"/>
              </w:rPr>
              <w:t>7.</w:t>
            </w:r>
          </w:p>
        </w:tc>
        <w:tc>
          <w:tcPr>
            <w:tcW w:w="2119" w:type="dxa"/>
            <w:vMerge w:val="restart"/>
            <w:tcBorders>
              <w:top w:val="nil"/>
              <w:left w:val="nil"/>
              <w:right w:val="single" w:sz="4" w:space="0" w:color="auto"/>
            </w:tcBorders>
            <w:vAlign w:val="center"/>
            <w:hideMark/>
          </w:tcPr>
          <w:p w14:paraId="68D89EDB" w14:textId="77777777" w:rsidR="001065FA" w:rsidRPr="001065FA" w:rsidRDefault="001065FA" w:rsidP="001065FA">
            <w:pPr>
              <w:rPr>
                <w:rFonts w:asciiTheme="majorHAnsi" w:hAnsiTheme="majorHAnsi" w:cs="Calibri"/>
                <w:color w:val="000000"/>
              </w:rPr>
            </w:pPr>
            <w:r w:rsidRPr="001065FA">
              <w:rPr>
                <w:rFonts w:asciiTheme="majorHAnsi" w:hAnsiTheme="majorHAnsi" w:cs="Calibri"/>
                <w:color w:val="000000"/>
              </w:rPr>
              <w:t>ODRŽAVANJE ČISTOĆE JAVNIH POVRŠINA</w:t>
            </w:r>
          </w:p>
        </w:tc>
        <w:tc>
          <w:tcPr>
            <w:tcW w:w="1124" w:type="dxa"/>
            <w:vMerge w:val="restart"/>
            <w:tcBorders>
              <w:top w:val="nil"/>
              <w:left w:val="nil"/>
              <w:right w:val="single" w:sz="4" w:space="0" w:color="auto"/>
            </w:tcBorders>
            <w:vAlign w:val="center"/>
            <w:hideMark/>
          </w:tcPr>
          <w:p w14:paraId="595320AF" w14:textId="77777777" w:rsidR="001065FA" w:rsidRPr="001065FA" w:rsidRDefault="001065FA" w:rsidP="001065FA">
            <w:pPr>
              <w:jc w:val="center"/>
              <w:rPr>
                <w:rFonts w:asciiTheme="majorHAnsi" w:hAnsiTheme="majorHAnsi" w:cs="Calibri"/>
                <w:color w:val="000000"/>
                <w:sz w:val="20"/>
                <w:szCs w:val="20"/>
              </w:rPr>
            </w:pPr>
            <w:r w:rsidRPr="001065FA">
              <w:rPr>
                <w:rFonts w:asciiTheme="majorHAnsi" w:hAnsiTheme="majorHAnsi" w:cs="Calibri"/>
                <w:color w:val="000000"/>
                <w:sz w:val="20"/>
                <w:szCs w:val="20"/>
              </w:rPr>
              <w:t>A100092</w:t>
            </w:r>
          </w:p>
        </w:tc>
        <w:tc>
          <w:tcPr>
            <w:tcW w:w="1661" w:type="dxa"/>
            <w:tcBorders>
              <w:top w:val="nil"/>
              <w:left w:val="nil"/>
              <w:bottom w:val="single" w:sz="4" w:space="0" w:color="auto"/>
              <w:right w:val="single" w:sz="4" w:space="0" w:color="auto"/>
            </w:tcBorders>
            <w:vAlign w:val="center"/>
          </w:tcPr>
          <w:p w14:paraId="6519AD58" w14:textId="48406A6E" w:rsidR="001065FA" w:rsidRPr="001065FA" w:rsidRDefault="001065FA" w:rsidP="001065FA">
            <w:pPr>
              <w:jc w:val="center"/>
              <w:rPr>
                <w:rFonts w:asciiTheme="majorHAnsi" w:hAnsiTheme="majorHAnsi" w:cs="Calibri"/>
                <w:b/>
                <w:bCs/>
                <w:color w:val="000000"/>
              </w:rPr>
            </w:pPr>
            <w:r w:rsidRPr="001065FA">
              <w:rPr>
                <w:rFonts w:asciiTheme="majorHAnsi" w:hAnsiTheme="majorHAnsi" w:cs="Calibri"/>
                <w:b/>
                <w:bCs/>
                <w:color w:val="000000"/>
              </w:rPr>
              <w:t>48.664,00</w:t>
            </w:r>
          </w:p>
        </w:tc>
        <w:tc>
          <w:tcPr>
            <w:tcW w:w="1616" w:type="dxa"/>
            <w:tcBorders>
              <w:top w:val="nil"/>
              <w:left w:val="nil"/>
              <w:bottom w:val="single" w:sz="4" w:space="0" w:color="auto"/>
              <w:right w:val="single" w:sz="4" w:space="0" w:color="auto"/>
            </w:tcBorders>
            <w:vAlign w:val="center"/>
          </w:tcPr>
          <w:p w14:paraId="251BE5A8" w14:textId="6B9D3E7E" w:rsidR="001065FA" w:rsidRPr="001065FA" w:rsidRDefault="001065FA" w:rsidP="001065FA">
            <w:pPr>
              <w:jc w:val="center"/>
              <w:rPr>
                <w:rFonts w:asciiTheme="majorHAnsi" w:hAnsiTheme="majorHAnsi" w:cs="Calibri"/>
                <w:b/>
                <w:bCs/>
                <w:color w:val="000000"/>
              </w:rPr>
            </w:pPr>
            <w:r w:rsidRPr="001065FA">
              <w:rPr>
                <w:rFonts w:asciiTheme="majorHAnsi" w:hAnsiTheme="majorHAnsi" w:cs="Calibri"/>
                <w:b/>
                <w:bCs/>
              </w:rPr>
              <w:t>44.264,00</w:t>
            </w:r>
          </w:p>
        </w:tc>
        <w:tc>
          <w:tcPr>
            <w:tcW w:w="1597" w:type="dxa"/>
            <w:tcBorders>
              <w:top w:val="nil"/>
              <w:left w:val="nil"/>
              <w:bottom w:val="single" w:sz="4" w:space="0" w:color="auto"/>
              <w:right w:val="single" w:sz="4" w:space="0" w:color="auto"/>
            </w:tcBorders>
            <w:vAlign w:val="center"/>
          </w:tcPr>
          <w:p w14:paraId="3A462BF5" w14:textId="20CEF19D" w:rsidR="001065FA" w:rsidRPr="001065FA" w:rsidRDefault="001065FA" w:rsidP="001065FA">
            <w:pPr>
              <w:jc w:val="center"/>
              <w:rPr>
                <w:rFonts w:asciiTheme="majorHAnsi" w:hAnsiTheme="majorHAnsi" w:cs="Calibri"/>
                <w:b/>
                <w:bCs/>
                <w:color w:val="000000"/>
              </w:rPr>
            </w:pPr>
            <w:r>
              <w:rPr>
                <w:rFonts w:asciiTheme="majorHAnsi" w:hAnsiTheme="majorHAnsi" w:cs="Calibri"/>
                <w:b/>
                <w:bCs/>
                <w:color w:val="000000"/>
              </w:rPr>
              <w:t>53.192,65</w:t>
            </w:r>
          </w:p>
        </w:tc>
        <w:tc>
          <w:tcPr>
            <w:tcW w:w="1276" w:type="dxa"/>
            <w:tcBorders>
              <w:top w:val="nil"/>
              <w:left w:val="nil"/>
              <w:bottom w:val="single" w:sz="4" w:space="0" w:color="auto"/>
              <w:right w:val="single" w:sz="4" w:space="0" w:color="auto"/>
            </w:tcBorders>
            <w:vAlign w:val="center"/>
            <w:hideMark/>
          </w:tcPr>
          <w:p w14:paraId="31112C3F" w14:textId="560F6449" w:rsidR="001065FA" w:rsidRPr="001065FA" w:rsidRDefault="001065FA" w:rsidP="001065FA">
            <w:pPr>
              <w:jc w:val="center"/>
              <w:rPr>
                <w:rFonts w:asciiTheme="majorHAnsi" w:hAnsiTheme="majorHAnsi" w:cs="Calibri"/>
                <w:color w:val="000000"/>
                <w:sz w:val="20"/>
                <w:szCs w:val="20"/>
              </w:rPr>
            </w:pPr>
            <w:r w:rsidRPr="001065FA">
              <w:rPr>
                <w:rFonts w:asciiTheme="majorHAnsi" w:hAnsiTheme="majorHAnsi" w:cs="Calibri"/>
                <w:color w:val="000000"/>
                <w:sz w:val="20"/>
                <w:szCs w:val="20"/>
              </w:rPr>
              <w:t xml:space="preserve">4.6.-komunalna naknada </w:t>
            </w:r>
          </w:p>
        </w:tc>
      </w:tr>
      <w:tr w:rsidR="001065FA" w:rsidRPr="001065FA" w14:paraId="1A89EFF2" w14:textId="77777777" w:rsidTr="001065FA">
        <w:trPr>
          <w:trHeight w:val="739"/>
        </w:trPr>
        <w:tc>
          <w:tcPr>
            <w:tcW w:w="383" w:type="dxa"/>
            <w:vMerge/>
            <w:tcBorders>
              <w:left w:val="single" w:sz="4" w:space="0" w:color="auto"/>
              <w:bottom w:val="single" w:sz="4" w:space="0" w:color="auto"/>
              <w:right w:val="single" w:sz="4" w:space="0" w:color="auto"/>
            </w:tcBorders>
            <w:vAlign w:val="center"/>
          </w:tcPr>
          <w:p w14:paraId="562910EC" w14:textId="77777777" w:rsidR="001065FA" w:rsidRPr="001065FA" w:rsidRDefault="001065FA" w:rsidP="001065FA">
            <w:pPr>
              <w:jc w:val="center"/>
              <w:rPr>
                <w:rFonts w:asciiTheme="majorHAnsi" w:hAnsiTheme="majorHAnsi" w:cs="Calibri"/>
                <w:color w:val="000000"/>
              </w:rPr>
            </w:pPr>
          </w:p>
        </w:tc>
        <w:tc>
          <w:tcPr>
            <w:tcW w:w="2119" w:type="dxa"/>
            <w:vMerge/>
            <w:tcBorders>
              <w:left w:val="nil"/>
              <w:bottom w:val="single" w:sz="4" w:space="0" w:color="auto"/>
              <w:right w:val="single" w:sz="4" w:space="0" w:color="auto"/>
            </w:tcBorders>
            <w:vAlign w:val="center"/>
          </w:tcPr>
          <w:p w14:paraId="007B2074" w14:textId="77777777" w:rsidR="001065FA" w:rsidRPr="001065FA" w:rsidRDefault="001065FA" w:rsidP="001065FA">
            <w:pPr>
              <w:rPr>
                <w:rFonts w:asciiTheme="majorHAnsi" w:hAnsiTheme="majorHAnsi" w:cs="Calibri"/>
                <w:color w:val="000000"/>
              </w:rPr>
            </w:pPr>
          </w:p>
        </w:tc>
        <w:tc>
          <w:tcPr>
            <w:tcW w:w="1124" w:type="dxa"/>
            <w:vMerge/>
            <w:tcBorders>
              <w:left w:val="nil"/>
              <w:bottom w:val="single" w:sz="4" w:space="0" w:color="auto"/>
              <w:right w:val="single" w:sz="4" w:space="0" w:color="auto"/>
            </w:tcBorders>
            <w:vAlign w:val="center"/>
          </w:tcPr>
          <w:p w14:paraId="0E98B924" w14:textId="77777777" w:rsidR="001065FA" w:rsidRPr="001065FA" w:rsidRDefault="001065FA" w:rsidP="001065FA">
            <w:pPr>
              <w:jc w:val="center"/>
              <w:rPr>
                <w:rFonts w:asciiTheme="majorHAnsi" w:hAnsiTheme="majorHAnsi" w:cs="Calibri"/>
                <w:color w:val="000000"/>
                <w:sz w:val="20"/>
                <w:szCs w:val="20"/>
              </w:rPr>
            </w:pPr>
          </w:p>
        </w:tc>
        <w:tc>
          <w:tcPr>
            <w:tcW w:w="1661" w:type="dxa"/>
            <w:tcBorders>
              <w:top w:val="nil"/>
              <w:left w:val="nil"/>
              <w:bottom w:val="single" w:sz="4" w:space="0" w:color="auto"/>
              <w:right w:val="single" w:sz="4" w:space="0" w:color="auto"/>
            </w:tcBorders>
            <w:vAlign w:val="center"/>
          </w:tcPr>
          <w:p w14:paraId="140359FF" w14:textId="7FC3F2AE" w:rsidR="001065FA" w:rsidRPr="001065FA" w:rsidRDefault="001065FA" w:rsidP="001065FA">
            <w:pPr>
              <w:jc w:val="center"/>
              <w:rPr>
                <w:rFonts w:asciiTheme="majorHAnsi" w:hAnsiTheme="majorHAnsi" w:cs="Calibri"/>
                <w:b/>
                <w:bCs/>
                <w:color w:val="000000"/>
              </w:rPr>
            </w:pPr>
            <w:r w:rsidRPr="001065FA">
              <w:rPr>
                <w:rFonts w:asciiTheme="majorHAnsi" w:hAnsiTheme="majorHAnsi" w:cs="Calibri"/>
                <w:b/>
                <w:bCs/>
                <w:color w:val="000000"/>
              </w:rPr>
              <w:t>12.563,00</w:t>
            </w:r>
          </w:p>
        </w:tc>
        <w:tc>
          <w:tcPr>
            <w:tcW w:w="1616" w:type="dxa"/>
            <w:tcBorders>
              <w:top w:val="nil"/>
              <w:left w:val="nil"/>
              <w:bottom w:val="single" w:sz="4" w:space="0" w:color="auto"/>
              <w:right w:val="single" w:sz="4" w:space="0" w:color="auto"/>
            </w:tcBorders>
            <w:vAlign w:val="center"/>
          </w:tcPr>
          <w:p w14:paraId="5FA0484A" w14:textId="277EC7C7" w:rsidR="001065FA" w:rsidRPr="001065FA" w:rsidRDefault="001065FA" w:rsidP="001065FA">
            <w:pPr>
              <w:jc w:val="center"/>
              <w:rPr>
                <w:rFonts w:asciiTheme="majorHAnsi" w:hAnsiTheme="majorHAnsi" w:cs="Calibri"/>
                <w:b/>
                <w:bCs/>
                <w:color w:val="000000"/>
              </w:rPr>
            </w:pPr>
            <w:r>
              <w:rPr>
                <w:rFonts w:asciiTheme="majorHAnsi" w:hAnsiTheme="majorHAnsi" w:cs="Calibri"/>
                <w:b/>
                <w:bCs/>
                <w:color w:val="000000"/>
              </w:rPr>
              <w:t>0,00</w:t>
            </w:r>
          </w:p>
        </w:tc>
        <w:tc>
          <w:tcPr>
            <w:tcW w:w="1597" w:type="dxa"/>
            <w:tcBorders>
              <w:top w:val="nil"/>
              <w:left w:val="nil"/>
              <w:bottom w:val="single" w:sz="4" w:space="0" w:color="auto"/>
              <w:right w:val="single" w:sz="4" w:space="0" w:color="auto"/>
            </w:tcBorders>
            <w:vAlign w:val="center"/>
          </w:tcPr>
          <w:p w14:paraId="23022D5E" w14:textId="4B33F78A" w:rsidR="001065FA" w:rsidRPr="001065FA" w:rsidRDefault="001065FA" w:rsidP="001065FA">
            <w:pPr>
              <w:jc w:val="center"/>
              <w:rPr>
                <w:rFonts w:asciiTheme="majorHAnsi" w:hAnsiTheme="majorHAnsi" w:cs="Calibri"/>
                <w:b/>
                <w:bCs/>
                <w:color w:val="000000"/>
              </w:rPr>
            </w:pPr>
            <w:r>
              <w:rPr>
                <w:rFonts w:asciiTheme="majorHAnsi" w:hAnsiTheme="majorHAnsi" w:cs="Calibri"/>
                <w:b/>
                <w:bCs/>
                <w:color w:val="000000"/>
              </w:rPr>
              <w:t>0,00</w:t>
            </w:r>
          </w:p>
        </w:tc>
        <w:tc>
          <w:tcPr>
            <w:tcW w:w="1276" w:type="dxa"/>
            <w:tcBorders>
              <w:top w:val="nil"/>
              <w:left w:val="nil"/>
              <w:bottom w:val="single" w:sz="4" w:space="0" w:color="auto"/>
              <w:right w:val="single" w:sz="4" w:space="0" w:color="auto"/>
            </w:tcBorders>
            <w:vAlign w:val="center"/>
          </w:tcPr>
          <w:p w14:paraId="25932F4A" w14:textId="6E9E6953" w:rsidR="001065FA" w:rsidRPr="001065FA" w:rsidRDefault="001065FA" w:rsidP="001065FA">
            <w:pPr>
              <w:jc w:val="center"/>
              <w:rPr>
                <w:rFonts w:asciiTheme="majorHAnsi" w:hAnsiTheme="majorHAnsi" w:cs="Calibri"/>
                <w:color w:val="000000"/>
                <w:sz w:val="20"/>
                <w:szCs w:val="20"/>
              </w:rPr>
            </w:pPr>
            <w:r w:rsidRPr="001065FA">
              <w:rPr>
                <w:rFonts w:asciiTheme="majorHAnsi" w:hAnsiTheme="majorHAnsi" w:cs="Calibri"/>
                <w:color w:val="000000"/>
                <w:sz w:val="20"/>
                <w:szCs w:val="20"/>
              </w:rPr>
              <w:t>7.1. prihod od prodaje nefinancijske imovine</w:t>
            </w:r>
          </w:p>
        </w:tc>
      </w:tr>
      <w:tr w:rsidR="001065FA" w:rsidRPr="001065FA" w14:paraId="608256E9" w14:textId="77777777" w:rsidTr="001065FA">
        <w:trPr>
          <w:trHeight w:val="597"/>
        </w:trPr>
        <w:tc>
          <w:tcPr>
            <w:tcW w:w="383" w:type="dxa"/>
            <w:vMerge w:val="restart"/>
            <w:tcBorders>
              <w:top w:val="nil"/>
              <w:left w:val="single" w:sz="4" w:space="0" w:color="auto"/>
              <w:right w:val="single" w:sz="4" w:space="0" w:color="auto"/>
            </w:tcBorders>
            <w:vAlign w:val="center"/>
            <w:hideMark/>
          </w:tcPr>
          <w:p w14:paraId="4999BAB7" w14:textId="77777777" w:rsidR="001065FA" w:rsidRPr="001065FA" w:rsidRDefault="001065FA" w:rsidP="001065FA">
            <w:pPr>
              <w:jc w:val="center"/>
              <w:rPr>
                <w:rFonts w:asciiTheme="majorHAnsi" w:hAnsiTheme="majorHAnsi" w:cs="Calibri"/>
                <w:color w:val="000000"/>
              </w:rPr>
            </w:pPr>
            <w:r w:rsidRPr="001065FA">
              <w:rPr>
                <w:rFonts w:asciiTheme="majorHAnsi" w:hAnsiTheme="majorHAnsi" w:cs="Calibri"/>
                <w:color w:val="000000"/>
              </w:rPr>
              <w:t>8.</w:t>
            </w:r>
          </w:p>
        </w:tc>
        <w:tc>
          <w:tcPr>
            <w:tcW w:w="2119" w:type="dxa"/>
            <w:vMerge w:val="restart"/>
            <w:tcBorders>
              <w:top w:val="nil"/>
              <w:left w:val="nil"/>
              <w:right w:val="single" w:sz="4" w:space="0" w:color="auto"/>
            </w:tcBorders>
            <w:vAlign w:val="center"/>
            <w:hideMark/>
          </w:tcPr>
          <w:p w14:paraId="299CE12A" w14:textId="77777777" w:rsidR="001065FA" w:rsidRPr="001065FA" w:rsidRDefault="001065FA" w:rsidP="001065FA">
            <w:pPr>
              <w:rPr>
                <w:rFonts w:asciiTheme="majorHAnsi" w:hAnsiTheme="majorHAnsi" w:cs="Calibri"/>
                <w:color w:val="000000"/>
              </w:rPr>
            </w:pPr>
            <w:r w:rsidRPr="001065FA">
              <w:rPr>
                <w:rFonts w:asciiTheme="majorHAnsi" w:hAnsiTheme="majorHAnsi" w:cs="Calibri"/>
                <w:color w:val="000000"/>
              </w:rPr>
              <w:t>ODRŽAVANJE JAVNE RASVJETE</w:t>
            </w:r>
          </w:p>
        </w:tc>
        <w:tc>
          <w:tcPr>
            <w:tcW w:w="1124" w:type="dxa"/>
            <w:vMerge w:val="restart"/>
            <w:tcBorders>
              <w:top w:val="nil"/>
              <w:left w:val="nil"/>
              <w:right w:val="single" w:sz="4" w:space="0" w:color="auto"/>
            </w:tcBorders>
            <w:vAlign w:val="center"/>
            <w:hideMark/>
          </w:tcPr>
          <w:p w14:paraId="0276C434" w14:textId="77777777" w:rsidR="001065FA" w:rsidRPr="001065FA" w:rsidRDefault="001065FA" w:rsidP="001065FA">
            <w:pPr>
              <w:jc w:val="center"/>
              <w:rPr>
                <w:rFonts w:asciiTheme="majorHAnsi" w:hAnsiTheme="majorHAnsi" w:cs="Calibri"/>
                <w:color w:val="000000"/>
                <w:sz w:val="20"/>
                <w:szCs w:val="20"/>
              </w:rPr>
            </w:pPr>
            <w:r w:rsidRPr="001065FA">
              <w:rPr>
                <w:rFonts w:asciiTheme="majorHAnsi" w:hAnsiTheme="majorHAnsi" w:cs="Calibri"/>
                <w:color w:val="000000"/>
                <w:sz w:val="20"/>
                <w:szCs w:val="20"/>
              </w:rPr>
              <w:t>A100093</w:t>
            </w:r>
          </w:p>
        </w:tc>
        <w:tc>
          <w:tcPr>
            <w:tcW w:w="1661" w:type="dxa"/>
            <w:tcBorders>
              <w:top w:val="nil"/>
              <w:left w:val="nil"/>
              <w:bottom w:val="single" w:sz="4" w:space="0" w:color="auto"/>
              <w:right w:val="single" w:sz="4" w:space="0" w:color="auto"/>
            </w:tcBorders>
            <w:vAlign w:val="center"/>
          </w:tcPr>
          <w:p w14:paraId="2151BE5B" w14:textId="4E13ECB5" w:rsidR="001065FA" w:rsidRPr="001065FA" w:rsidRDefault="001065FA" w:rsidP="001065FA">
            <w:pPr>
              <w:jc w:val="center"/>
              <w:rPr>
                <w:rFonts w:asciiTheme="majorHAnsi" w:hAnsiTheme="majorHAnsi" w:cs="Calibri"/>
                <w:b/>
                <w:bCs/>
                <w:color w:val="000000"/>
              </w:rPr>
            </w:pPr>
            <w:r w:rsidRPr="001065FA">
              <w:rPr>
                <w:rFonts w:asciiTheme="majorHAnsi" w:hAnsiTheme="majorHAnsi" w:cs="Calibri"/>
                <w:b/>
                <w:bCs/>
                <w:color w:val="000000"/>
              </w:rPr>
              <w:t>30.000,00</w:t>
            </w:r>
          </w:p>
        </w:tc>
        <w:tc>
          <w:tcPr>
            <w:tcW w:w="1616" w:type="dxa"/>
            <w:tcBorders>
              <w:top w:val="nil"/>
              <w:left w:val="nil"/>
              <w:bottom w:val="single" w:sz="4" w:space="0" w:color="auto"/>
              <w:right w:val="single" w:sz="4" w:space="0" w:color="auto"/>
            </w:tcBorders>
            <w:vAlign w:val="center"/>
          </w:tcPr>
          <w:p w14:paraId="58007D21" w14:textId="41E04D3A" w:rsidR="001065FA" w:rsidRPr="001065FA" w:rsidRDefault="001065FA" w:rsidP="001065FA">
            <w:pPr>
              <w:jc w:val="center"/>
              <w:rPr>
                <w:rFonts w:asciiTheme="majorHAnsi" w:hAnsiTheme="majorHAnsi" w:cs="Calibri"/>
                <w:b/>
                <w:bCs/>
                <w:color w:val="000000"/>
              </w:rPr>
            </w:pPr>
            <w:r w:rsidRPr="001065FA">
              <w:rPr>
                <w:rFonts w:asciiTheme="majorHAnsi" w:hAnsiTheme="majorHAnsi" w:cs="Calibri"/>
                <w:b/>
                <w:bCs/>
              </w:rPr>
              <w:t>132.508,00</w:t>
            </w:r>
          </w:p>
        </w:tc>
        <w:tc>
          <w:tcPr>
            <w:tcW w:w="1597" w:type="dxa"/>
            <w:tcBorders>
              <w:top w:val="nil"/>
              <w:left w:val="nil"/>
              <w:bottom w:val="single" w:sz="4" w:space="0" w:color="auto"/>
              <w:right w:val="single" w:sz="4" w:space="0" w:color="auto"/>
            </w:tcBorders>
            <w:vAlign w:val="center"/>
          </w:tcPr>
          <w:p w14:paraId="25CD4431" w14:textId="76CA2903" w:rsidR="001065FA" w:rsidRPr="001065FA" w:rsidRDefault="00427683" w:rsidP="001065FA">
            <w:pPr>
              <w:jc w:val="center"/>
              <w:rPr>
                <w:rFonts w:asciiTheme="majorHAnsi" w:hAnsiTheme="majorHAnsi" w:cs="Calibri"/>
                <w:b/>
                <w:bCs/>
                <w:color w:val="000000"/>
              </w:rPr>
            </w:pPr>
            <w:r>
              <w:rPr>
                <w:rFonts w:asciiTheme="majorHAnsi" w:hAnsiTheme="majorHAnsi" w:cs="Calibri"/>
                <w:b/>
                <w:bCs/>
                <w:color w:val="000000"/>
              </w:rPr>
              <w:t>72.402,42</w:t>
            </w:r>
          </w:p>
        </w:tc>
        <w:tc>
          <w:tcPr>
            <w:tcW w:w="1276" w:type="dxa"/>
            <w:tcBorders>
              <w:top w:val="nil"/>
              <w:left w:val="nil"/>
              <w:bottom w:val="single" w:sz="4" w:space="0" w:color="auto"/>
              <w:right w:val="single" w:sz="4" w:space="0" w:color="auto"/>
            </w:tcBorders>
            <w:vAlign w:val="center"/>
            <w:hideMark/>
          </w:tcPr>
          <w:p w14:paraId="4EBDC02D" w14:textId="5E3B2CF7" w:rsidR="001065FA" w:rsidRPr="001065FA" w:rsidRDefault="001065FA" w:rsidP="001065FA">
            <w:pPr>
              <w:jc w:val="center"/>
              <w:rPr>
                <w:rFonts w:asciiTheme="majorHAnsi" w:hAnsiTheme="majorHAnsi" w:cs="Calibri"/>
                <w:color w:val="000000"/>
                <w:sz w:val="20"/>
                <w:szCs w:val="20"/>
              </w:rPr>
            </w:pPr>
            <w:r w:rsidRPr="001065FA">
              <w:rPr>
                <w:rFonts w:asciiTheme="majorHAnsi" w:hAnsiTheme="majorHAnsi" w:cs="Calibri"/>
                <w:color w:val="000000"/>
                <w:sz w:val="20"/>
                <w:szCs w:val="20"/>
              </w:rPr>
              <w:t xml:space="preserve">4.6.-komunalna naknada  </w:t>
            </w:r>
          </w:p>
        </w:tc>
      </w:tr>
      <w:tr w:rsidR="001065FA" w:rsidRPr="001065FA" w14:paraId="471483CA" w14:textId="77777777" w:rsidTr="001065FA">
        <w:trPr>
          <w:trHeight w:val="563"/>
        </w:trPr>
        <w:tc>
          <w:tcPr>
            <w:tcW w:w="383" w:type="dxa"/>
            <w:vMerge/>
            <w:tcBorders>
              <w:left w:val="single" w:sz="4" w:space="0" w:color="auto"/>
              <w:bottom w:val="single" w:sz="4" w:space="0" w:color="auto"/>
              <w:right w:val="single" w:sz="4" w:space="0" w:color="auto"/>
            </w:tcBorders>
            <w:vAlign w:val="center"/>
          </w:tcPr>
          <w:p w14:paraId="1AC5D172" w14:textId="77777777" w:rsidR="001065FA" w:rsidRPr="001065FA" w:rsidRDefault="001065FA" w:rsidP="001065FA">
            <w:pPr>
              <w:jc w:val="center"/>
              <w:rPr>
                <w:rFonts w:asciiTheme="majorHAnsi" w:hAnsiTheme="majorHAnsi" w:cs="Calibri"/>
                <w:b/>
                <w:bCs/>
                <w:color w:val="000000"/>
              </w:rPr>
            </w:pPr>
          </w:p>
        </w:tc>
        <w:tc>
          <w:tcPr>
            <w:tcW w:w="2119" w:type="dxa"/>
            <w:vMerge/>
            <w:tcBorders>
              <w:left w:val="nil"/>
              <w:bottom w:val="single" w:sz="4" w:space="0" w:color="auto"/>
              <w:right w:val="single" w:sz="4" w:space="0" w:color="auto"/>
            </w:tcBorders>
            <w:vAlign w:val="center"/>
          </w:tcPr>
          <w:p w14:paraId="3200B225" w14:textId="77777777" w:rsidR="001065FA" w:rsidRPr="001065FA" w:rsidRDefault="001065FA" w:rsidP="001065FA">
            <w:pPr>
              <w:rPr>
                <w:rFonts w:asciiTheme="majorHAnsi" w:hAnsiTheme="majorHAnsi" w:cs="Calibri"/>
                <w:b/>
                <w:bCs/>
                <w:color w:val="000000"/>
              </w:rPr>
            </w:pPr>
          </w:p>
        </w:tc>
        <w:tc>
          <w:tcPr>
            <w:tcW w:w="1124" w:type="dxa"/>
            <w:vMerge/>
            <w:tcBorders>
              <w:left w:val="nil"/>
              <w:bottom w:val="single" w:sz="4" w:space="0" w:color="auto"/>
              <w:right w:val="single" w:sz="4" w:space="0" w:color="auto"/>
            </w:tcBorders>
            <w:vAlign w:val="center"/>
          </w:tcPr>
          <w:p w14:paraId="5FBF03F7" w14:textId="77777777" w:rsidR="001065FA" w:rsidRPr="001065FA" w:rsidRDefault="001065FA" w:rsidP="001065FA">
            <w:pPr>
              <w:jc w:val="center"/>
              <w:rPr>
                <w:rFonts w:asciiTheme="majorHAnsi" w:hAnsiTheme="majorHAnsi" w:cs="Calibri"/>
                <w:color w:val="000000"/>
                <w:sz w:val="20"/>
                <w:szCs w:val="20"/>
              </w:rPr>
            </w:pPr>
          </w:p>
        </w:tc>
        <w:tc>
          <w:tcPr>
            <w:tcW w:w="1661" w:type="dxa"/>
            <w:tcBorders>
              <w:top w:val="nil"/>
              <w:left w:val="nil"/>
              <w:bottom w:val="single" w:sz="4" w:space="0" w:color="auto"/>
              <w:right w:val="single" w:sz="4" w:space="0" w:color="auto"/>
            </w:tcBorders>
            <w:vAlign w:val="center"/>
          </w:tcPr>
          <w:p w14:paraId="3E08025B" w14:textId="26759A53" w:rsidR="001065FA" w:rsidRPr="001065FA" w:rsidRDefault="001065FA" w:rsidP="001065FA">
            <w:pPr>
              <w:jc w:val="center"/>
              <w:rPr>
                <w:rFonts w:asciiTheme="majorHAnsi" w:hAnsiTheme="majorHAnsi" w:cs="Calibri"/>
                <w:b/>
                <w:bCs/>
                <w:color w:val="000000"/>
              </w:rPr>
            </w:pPr>
            <w:r w:rsidRPr="001065FA">
              <w:rPr>
                <w:rFonts w:asciiTheme="majorHAnsi" w:hAnsiTheme="majorHAnsi" w:cs="Calibri"/>
                <w:b/>
                <w:bCs/>
                <w:color w:val="000000"/>
              </w:rPr>
              <w:t>51.508,00</w:t>
            </w:r>
          </w:p>
        </w:tc>
        <w:tc>
          <w:tcPr>
            <w:tcW w:w="1616" w:type="dxa"/>
            <w:tcBorders>
              <w:top w:val="nil"/>
              <w:left w:val="nil"/>
              <w:bottom w:val="single" w:sz="4" w:space="0" w:color="auto"/>
              <w:right w:val="single" w:sz="4" w:space="0" w:color="auto"/>
            </w:tcBorders>
            <w:vAlign w:val="center"/>
          </w:tcPr>
          <w:p w14:paraId="544F3EEA" w14:textId="3CD4CB63" w:rsidR="001065FA" w:rsidRPr="001065FA" w:rsidRDefault="001065FA" w:rsidP="001065FA">
            <w:pPr>
              <w:jc w:val="center"/>
              <w:rPr>
                <w:rFonts w:asciiTheme="majorHAnsi" w:hAnsiTheme="majorHAnsi" w:cs="Calibri"/>
                <w:b/>
                <w:bCs/>
                <w:color w:val="000000"/>
              </w:rPr>
            </w:pPr>
            <w:r>
              <w:rPr>
                <w:rFonts w:asciiTheme="majorHAnsi" w:hAnsiTheme="majorHAnsi" w:cs="Calibri"/>
                <w:b/>
                <w:bCs/>
                <w:color w:val="000000"/>
              </w:rPr>
              <w:t>0,00</w:t>
            </w:r>
          </w:p>
        </w:tc>
        <w:tc>
          <w:tcPr>
            <w:tcW w:w="1597" w:type="dxa"/>
            <w:tcBorders>
              <w:top w:val="nil"/>
              <w:left w:val="nil"/>
              <w:bottom w:val="single" w:sz="4" w:space="0" w:color="auto"/>
              <w:right w:val="single" w:sz="4" w:space="0" w:color="auto"/>
            </w:tcBorders>
            <w:vAlign w:val="center"/>
          </w:tcPr>
          <w:p w14:paraId="7F2D7963" w14:textId="5298A26D" w:rsidR="001065FA" w:rsidRPr="001065FA" w:rsidRDefault="00427683" w:rsidP="001065FA">
            <w:pPr>
              <w:jc w:val="center"/>
              <w:rPr>
                <w:rFonts w:asciiTheme="majorHAnsi" w:hAnsiTheme="majorHAnsi" w:cs="Calibri"/>
                <w:b/>
                <w:bCs/>
                <w:color w:val="000000"/>
              </w:rPr>
            </w:pPr>
            <w:r>
              <w:rPr>
                <w:rFonts w:asciiTheme="majorHAnsi" w:hAnsiTheme="majorHAnsi" w:cs="Calibri"/>
                <w:b/>
                <w:bCs/>
                <w:color w:val="000000"/>
              </w:rPr>
              <w:t>60.769,20</w:t>
            </w:r>
          </w:p>
        </w:tc>
        <w:tc>
          <w:tcPr>
            <w:tcW w:w="1276" w:type="dxa"/>
            <w:tcBorders>
              <w:top w:val="nil"/>
              <w:left w:val="nil"/>
              <w:bottom w:val="single" w:sz="4" w:space="0" w:color="auto"/>
              <w:right w:val="single" w:sz="4" w:space="0" w:color="auto"/>
            </w:tcBorders>
            <w:vAlign w:val="center"/>
          </w:tcPr>
          <w:p w14:paraId="0E96B7C4" w14:textId="3E471236" w:rsidR="001065FA" w:rsidRPr="00427683" w:rsidRDefault="00427683" w:rsidP="001065FA">
            <w:pPr>
              <w:jc w:val="center"/>
              <w:rPr>
                <w:rFonts w:asciiTheme="majorHAnsi" w:hAnsiTheme="majorHAnsi" w:cs="Calibri"/>
                <w:color w:val="000000"/>
                <w:sz w:val="18"/>
                <w:szCs w:val="18"/>
              </w:rPr>
            </w:pPr>
            <w:r w:rsidRPr="00427683">
              <w:rPr>
                <w:rFonts w:asciiTheme="majorHAnsi" w:hAnsiTheme="majorHAnsi" w:cs="Calibri"/>
                <w:color w:val="000000"/>
                <w:sz w:val="18"/>
                <w:szCs w:val="18"/>
              </w:rPr>
              <w:t xml:space="preserve">4.6.-komunalna naknada  </w:t>
            </w:r>
          </w:p>
        </w:tc>
      </w:tr>
      <w:tr w:rsidR="001065FA" w:rsidRPr="001065FA" w14:paraId="67D3BE54" w14:textId="77777777" w:rsidTr="001065FA">
        <w:trPr>
          <w:trHeight w:val="720"/>
        </w:trPr>
        <w:tc>
          <w:tcPr>
            <w:tcW w:w="383" w:type="dxa"/>
            <w:tcBorders>
              <w:top w:val="nil"/>
              <w:left w:val="single" w:sz="4" w:space="0" w:color="auto"/>
              <w:bottom w:val="single" w:sz="4" w:space="0" w:color="auto"/>
              <w:right w:val="single" w:sz="4" w:space="0" w:color="auto"/>
            </w:tcBorders>
            <w:vAlign w:val="center"/>
            <w:hideMark/>
          </w:tcPr>
          <w:p w14:paraId="034D1D50" w14:textId="77777777" w:rsidR="001065FA" w:rsidRPr="001065FA" w:rsidRDefault="001065FA" w:rsidP="001065FA">
            <w:pPr>
              <w:jc w:val="center"/>
              <w:rPr>
                <w:rFonts w:asciiTheme="majorHAnsi" w:hAnsiTheme="majorHAnsi" w:cs="Calibri"/>
                <w:b/>
                <w:bCs/>
                <w:color w:val="000000"/>
              </w:rPr>
            </w:pPr>
            <w:r w:rsidRPr="001065FA">
              <w:rPr>
                <w:rFonts w:asciiTheme="majorHAnsi" w:hAnsiTheme="majorHAnsi" w:cs="Calibri"/>
                <w:b/>
                <w:bCs/>
                <w:color w:val="000000"/>
              </w:rPr>
              <w:t> </w:t>
            </w:r>
          </w:p>
        </w:tc>
        <w:tc>
          <w:tcPr>
            <w:tcW w:w="2119" w:type="dxa"/>
            <w:tcBorders>
              <w:top w:val="nil"/>
              <w:left w:val="nil"/>
              <w:bottom w:val="single" w:sz="4" w:space="0" w:color="auto"/>
              <w:right w:val="single" w:sz="4" w:space="0" w:color="auto"/>
            </w:tcBorders>
            <w:vAlign w:val="center"/>
            <w:hideMark/>
          </w:tcPr>
          <w:p w14:paraId="406A326C" w14:textId="77777777" w:rsidR="001065FA" w:rsidRPr="001065FA" w:rsidRDefault="001065FA" w:rsidP="001065FA">
            <w:pPr>
              <w:rPr>
                <w:rFonts w:asciiTheme="majorHAnsi" w:hAnsiTheme="majorHAnsi" w:cs="Calibri"/>
                <w:b/>
                <w:bCs/>
                <w:color w:val="000000"/>
                <w:spacing w:val="20"/>
              </w:rPr>
            </w:pPr>
            <w:r w:rsidRPr="001065FA">
              <w:rPr>
                <w:rFonts w:asciiTheme="majorHAnsi" w:hAnsiTheme="majorHAnsi" w:cs="Calibri"/>
                <w:b/>
                <w:bCs/>
                <w:color w:val="000000"/>
                <w:spacing w:val="20"/>
              </w:rPr>
              <w:t>UKUPNO</w:t>
            </w:r>
          </w:p>
        </w:tc>
        <w:tc>
          <w:tcPr>
            <w:tcW w:w="1124" w:type="dxa"/>
            <w:tcBorders>
              <w:top w:val="nil"/>
              <w:left w:val="nil"/>
              <w:bottom w:val="single" w:sz="4" w:space="0" w:color="auto"/>
              <w:right w:val="single" w:sz="4" w:space="0" w:color="auto"/>
            </w:tcBorders>
            <w:vAlign w:val="center"/>
            <w:hideMark/>
          </w:tcPr>
          <w:p w14:paraId="451D2118" w14:textId="77777777" w:rsidR="001065FA" w:rsidRPr="001065FA" w:rsidRDefault="001065FA" w:rsidP="001065FA">
            <w:pPr>
              <w:jc w:val="center"/>
              <w:rPr>
                <w:rFonts w:asciiTheme="majorHAnsi" w:hAnsiTheme="majorHAnsi" w:cs="Calibri"/>
                <w:color w:val="000000"/>
                <w:sz w:val="20"/>
                <w:szCs w:val="20"/>
              </w:rPr>
            </w:pPr>
            <w:r w:rsidRPr="001065FA">
              <w:rPr>
                <w:rFonts w:asciiTheme="majorHAnsi" w:hAnsiTheme="majorHAnsi" w:cs="Calibri"/>
                <w:color w:val="000000"/>
                <w:sz w:val="20"/>
                <w:szCs w:val="20"/>
              </w:rPr>
              <w:t> </w:t>
            </w:r>
          </w:p>
        </w:tc>
        <w:tc>
          <w:tcPr>
            <w:tcW w:w="1661" w:type="dxa"/>
            <w:tcBorders>
              <w:top w:val="nil"/>
              <w:left w:val="nil"/>
              <w:bottom w:val="single" w:sz="4" w:space="0" w:color="auto"/>
              <w:right w:val="single" w:sz="4" w:space="0" w:color="auto"/>
            </w:tcBorders>
            <w:vAlign w:val="center"/>
          </w:tcPr>
          <w:p w14:paraId="098B679E" w14:textId="57C51F55" w:rsidR="001065FA" w:rsidRPr="001065FA" w:rsidRDefault="001065FA" w:rsidP="001065FA">
            <w:pPr>
              <w:jc w:val="center"/>
              <w:rPr>
                <w:rFonts w:asciiTheme="majorHAnsi" w:hAnsiTheme="majorHAnsi" w:cs="Calibri"/>
                <w:b/>
                <w:bCs/>
                <w:color w:val="000000"/>
              </w:rPr>
            </w:pPr>
            <w:r w:rsidRPr="001065FA">
              <w:rPr>
                <w:rFonts w:asciiTheme="majorHAnsi" w:hAnsiTheme="majorHAnsi" w:cs="Calibri"/>
                <w:b/>
                <w:bCs/>
                <w:color w:val="000000"/>
              </w:rPr>
              <w:t>646.755,00</w:t>
            </w:r>
            <w:r>
              <w:rPr>
                <w:rFonts w:asciiTheme="majorHAnsi" w:hAnsiTheme="majorHAnsi" w:cs="Calibri"/>
                <w:b/>
                <w:bCs/>
                <w:color w:val="000000"/>
              </w:rPr>
              <w:t xml:space="preserve"> </w:t>
            </w:r>
            <w:r w:rsidRPr="001065FA">
              <w:rPr>
                <w:rFonts w:asciiTheme="majorHAnsi" w:hAnsiTheme="majorHAnsi" w:cs="Calibri"/>
                <w:b/>
                <w:bCs/>
                <w:color w:val="000000"/>
              </w:rPr>
              <w:t>€</w:t>
            </w:r>
          </w:p>
        </w:tc>
        <w:tc>
          <w:tcPr>
            <w:tcW w:w="1616" w:type="dxa"/>
            <w:tcBorders>
              <w:top w:val="nil"/>
              <w:left w:val="nil"/>
              <w:bottom w:val="single" w:sz="4" w:space="0" w:color="auto"/>
              <w:right w:val="single" w:sz="4" w:space="0" w:color="auto"/>
            </w:tcBorders>
            <w:vAlign w:val="center"/>
          </w:tcPr>
          <w:p w14:paraId="4412E054" w14:textId="404FF777" w:rsidR="001065FA" w:rsidRPr="001065FA" w:rsidRDefault="001065FA" w:rsidP="001065FA">
            <w:pPr>
              <w:jc w:val="center"/>
              <w:rPr>
                <w:rFonts w:asciiTheme="majorHAnsi" w:hAnsiTheme="majorHAnsi" w:cs="Calibri"/>
                <w:b/>
                <w:bCs/>
                <w:color w:val="000000"/>
              </w:rPr>
            </w:pPr>
            <w:r w:rsidRPr="001065FA">
              <w:rPr>
                <w:rFonts w:asciiTheme="majorHAnsi" w:hAnsiTheme="majorHAnsi" w:cs="Calibri"/>
                <w:b/>
                <w:bCs/>
              </w:rPr>
              <w:t>850.478,00</w:t>
            </w:r>
            <w:r>
              <w:rPr>
                <w:rFonts w:asciiTheme="majorHAnsi" w:hAnsiTheme="majorHAnsi" w:cs="Calibri"/>
                <w:b/>
                <w:bCs/>
              </w:rPr>
              <w:t xml:space="preserve"> </w:t>
            </w:r>
            <w:r w:rsidRPr="001065FA">
              <w:rPr>
                <w:rFonts w:asciiTheme="majorHAnsi" w:hAnsiTheme="majorHAnsi" w:cs="Calibri"/>
                <w:b/>
                <w:bCs/>
              </w:rPr>
              <w:t>€</w:t>
            </w:r>
          </w:p>
        </w:tc>
        <w:tc>
          <w:tcPr>
            <w:tcW w:w="1597" w:type="dxa"/>
            <w:tcBorders>
              <w:top w:val="nil"/>
              <w:left w:val="nil"/>
              <w:bottom w:val="single" w:sz="4" w:space="0" w:color="auto"/>
              <w:right w:val="single" w:sz="4" w:space="0" w:color="auto"/>
            </w:tcBorders>
            <w:vAlign w:val="center"/>
          </w:tcPr>
          <w:p w14:paraId="2334DEBE" w14:textId="56D5662C" w:rsidR="001065FA" w:rsidRPr="001065FA" w:rsidRDefault="001065FA" w:rsidP="001065FA">
            <w:pPr>
              <w:jc w:val="center"/>
              <w:rPr>
                <w:rFonts w:ascii="Cambria" w:hAnsi="Cambria" w:cs="Calibri"/>
                <w:b/>
                <w:bCs/>
                <w:noProof w:val="0"/>
                <w:color w:val="000000"/>
              </w:rPr>
            </w:pPr>
            <w:r w:rsidRPr="001065FA">
              <w:rPr>
                <w:rFonts w:ascii="Cambria" w:hAnsi="Cambria" w:cs="Calibri"/>
                <w:b/>
                <w:bCs/>
                <w:color w:val="000000"/>
              </w:rPr>
              <w:t>951.338,50</w:t>
            </w:r>
            <w:r>
              <w:rPr>
                <w:rFonts w:ascii="Cambria" w:hAnsi="Cambria" w:cs="Calibri"/>
                <w:b/>
                <w:bCs/>
                <w:color w:val="000000"/>
              </w:rPr>
              <w:t xml:space="preserve"> </w:t>
            </w:r>
            <w:r w:rsidRPr="001065FA">
              <w:rPr>
                <w:rFonts w:ascii="Cambria" w:hAnsi="Cambria" w:cs="Calibri"/>
                <w:b/>
                <w:bCs/>
                <w:color w:val="000000"/>
              </w:rPr>
              <w:t>€</w:t>
            </w:r>
          </w:p>
        </w:tc>
        <w:tc>
          <w:tcPr>
            <w:tcW w:w="1276" w:type="dxa"/>
            <w:tcBorders>
              <w:top w:val="nil"/>
              <w:left w:val="nil"/>
              <w:bottom w:val="single" w:sz="4" w:space="0" w:color="auto"/>
              <w:right w:val="single" w:sz="4" w:space="0" w:color="auto"/>
            </w:tcBorders>
            <w:vAlign w:val="center"/>
            <w:hideMark/>
          </w:tcPr>
          <w:p w14:paraId="3E51EBE6" w14:textId="77777777" w:rsidR="001065FA" w:rsidRPr="001065FA" w:rsidRDefault="001065FA" w:rsidP="001065FA">
            <w:pPr>
              <w:jc w:val="center"/>
              <w:rPr>
                <w:rFonts w:asciiTheme="majorHAnsi" w:hAnsiTheme="majorHAnsi" w:cs="Calibri"/>
                <w:b/>
                <w:bCs/>
                <w:color w:val="000000"/>
              </w:rPr>
            </w:pPr>
            <w:r w:rsidRPr="001065FA">
              <w:rPr>
                <w:rFonts w:asciiTheme="majorHAnsi" w:hAnsiTheme="majorHAnsi" w:cs="Calibri"/>
                <w:b/>
                <w:bCs/>
                <w:color w:val="000000"/>
              </w:rPr>
              <w:t> </w:t>
            </w:r>
          </w:p>
        </w:tc>
      </w:tr>
    </w:tbl>
    <w:p w14:paraId="41398C4F" w14:textId="77777777" w:rsidR="001065FA" w:rsidRPr="001065FA" w:rsidRDefault="001065FA" w:rsidP="001065FA">
      <w:pPr>
        <w:rPr>
          <w:rFonts w:asciiTheme="majorHAnsi" w:hAnsiTheme="majorHAnsi" w:cs="Calibri"/>
          <w:b/>
        </w:rPr>
      </w:pPr>
    </w:p>
    <w:p w14:paraId="57C88CD6" w14:textId="371E912D" w:rsidR="001065FA" w:rsidRPr="001065FA" w:rsidRDefault="001065FA" w:rsidP="001065FA">
      <w:pPr>
        <w:pStyle w:val="Default"/>
        <w:jc w:val="both"/>
        <w:rPr>
          <w:rFonts w:asciiTheme="majorHAnsi" w:hAnsiTheme="majorHAnsi" w:cs="Calibri"/>
          <w:sz w:val="22"/>
          <w:szCs w:val="22"/>
        </w:rPr>
      </w:pPr>
      <w:r w:rsidRPr="001065FA">
        <w:rPr>
          <w:rFonts w:asciiTheme="majorHAnsi" w:hAnsiTheme="majorHAnsi" w:cs="Calibri"/>
          <w:b/>
          <w:bCs/>
          <w:sz w:val="22"/>
          <w:szCs w:val="22"/>
        </w:rPr>
        <w:t>Nerazvrstane ceste</w:t>
      </w:r>
      <w:r w:rsidRPr="001065FA">
        <w:rPr>
          <w:rFonts w:asciiTheme="majorHAnsi" w:hAnsiTheme="majorHAnsi" w:cs="Calibri"/>
          <w:sz w:val="22"/>
          <w:szCs w:val="22"/>
        </w:rPr>
        <w:t xml:space="preserve"> su </w:t>
      </w:r>
      <w:r w:rsidRPr="001065FA">
        <w:rPr>
          <w:rFonts w:asciiTheme="majorHAnsi" w:hAnsiTheme="majorHAnsi" w:cs="Calibri"/>
          <w:sz w:val="22"/>
          <w:szCs w:val="22"/>
          <w:u w:val="single"/>
        </w:rPr>
        <w:t>ceste koje se koriste za promet vozilima</w:t>
      </w:r>
      <w:r w:rsidRPr="001065FA">
        <w:rPr>
          <w:rFonts w:asciiTheme="majorHAnsi" w:hAnsiTheme="majorHAnsi" w:cs="Calibri"/>
          <w:sz w:val="22"/>
          <w:szCs w:val="22"/>
        </w:rPr>
        <w:t xml:space="preserve"> i koje svatko može slobodno koristiti na način i pod uvjetima određenim ovim Zakonom o komunalnom gospodarstvu (NN br. </w:t>
      </w:r>
      <w:r w:rsidRPr="001065FA">
        <w:rPr>
          <w:rFonts w:ascii="Cambria" w:hAnsi="Cambria" w:cs="Calibri"/>
          <w:color w:val="000000" w:themeColor="text1"/>
          <w:sz w:val="22"/>
          <w:szCs w:val="22"/>
        </w:rPr>
        <w:t xml:space="preserve">68/18, 110/18, </w:t>
      </w:r>
      <w:r w:rsidRPr="001065FA">
        <w:rPr>
          <w:rStyle w:val="Naglaeno"/>
          <w:rFonts w:ascii="Cambria" w:hAnsi="Cambria" w:cs="Calibri"/>
          <w:b w:val="0"/>
          <w:bCs w:val="0"/>
          <w:color w:val="000000" w:themeColor="text1"/>
          <w:sz w:val="22"/>
          <w:szCs w:val="22"/>
        </w:rPr>
        <w:t>32/20</w:t>
      </w:r>
      <w:r w:rsidRPr="001065FA">
        <w:rPr>
          <w:rFonts w:ascii="Cambria" w:hAnsi="Cambria" w:cs="Calibri"/>
          <w:b/>
          <w:bCs/>
          <w:color w:val="000000" w:themeColor="text1"/>
          <w:sz w:val="22"/>
          <w:szCs w:val="22"/>
        </w:rPr>
        <w:t xml:space="preserve"> </w:t>
      </w:r>
      <w:r w:rsidRPr="001065FA">
        <w:rPr>
          <w:rFonts w:ascii="Cambria" w:hAnsi="Cambria" w:cs="Calibri"/>
          <w:color w:val="000000" w:themeColor="text1"/>
          <w:sz w:val="22"/>
          <w:szCs w:val="22"/>
        </w:rPr>
        <w:t>i</w:t>
      </w:r>
      <w:r w:rsidRPr="001065FA">
        <w:rPr>
          <w:rFonts w:ascii="Cambria" w:eastAsiaTheme="minorHAnsi" w:hAnsi="Cambria" w:cstheme="minorBidi"/>
          <w:noProof/>
          <w:color w:val="000000" w:themeColor="text1"/>
          <w:sz w:val="22"/>
          <w:szCs w:val="22"/>
          <w:lang w:eastAsia="en-US"/>
        </w:rPr>
        <w:t xml:space="preserve"> </w:t>
      </w:r>
      <w:hyperlink r:id="rId8" w:tooltip="Zakon o izmjenama i dopunama Zakona o komunalnom gospodarstvu" w:history="1">
        <w:r w:rsidRPr="001065FA">
          <w:rPr>
            <w:rFonts w:ascii="Cambria" w:eastAsiaTheme="minorHAnsi" w:hAnsi="Cambria" w:cs="Open Sans"/>
            <w:noProof/>
            <w:color w:val="000000" w:themeColor="text1"/>
            <w:sz w:val="23"/>
            <w:szCs w:val="23"/>
            <w:shd w:val="clear" w:color="auto" w:fill="FFFFFF"/>
            <w:lang w:eastAsia="en-US"/>
          </w:rPr>
          <w:t>145/24</w:t>
        </w:r>
      </w:hyperlink>
      <w:r w:rsidRPr="001065FA">
        <w:rPr>
          <w:rFonts w:ascii="Cambria" w:eastAsiaTheme="minorHAnsi" w:hAnsi="Cambria" w:cstheme="minorBidi"/>
          <w:noProof/>
          <w:color w:val="000000" w:themeColor="text1"/>
          <w:sz w:val="22"/>
          <w:szCs w:val="22"/>
          <w:lang w:eastAsia="en-US"/>
        </w:rPr>
        <w:t xml:space="preserve">, </w:t>
      </w:r>
      <w:r w:rsidRPr="001065FA">
        <w:rPr>
          <w:rFonts w:ascii="Cambria" w:hAnsi="Cambria" w:cs="Calibri"/>
          <w:color w:val="000000" w:themeColor="text1"/>
          <w:sz w:val="22"/>
          <w:szCs w:val="22"/>
        </w:rPr>
        <w:t>dalje u</w:t>
      </w:r>
      <w:r w:rsidRPr="001065FA">
        <w:rPr>
          <w:rFonts w:asciiTheme="majorHAnsi" w:hAnsiTheme="majorHAnsi" w:cs="Calibri"/>
          <w:color w:val="000000" w:themeColor="text1"/>
          <w:sz w:val="22"/>
          <w:szCs w:val="22"/>
        </w:rPr>
        <w:t xml:space="preserve"> </w:t>
      </w:r>
      <w:r w:rsidRPr="001065FA">
        <w:rPr>
          <w:rFonts w:asciiTheme="majorHAnsi" w:hAnsiTheme="majorHAnsi" w:cs="Calibri"/>
          <w:sz w:val="22"/>
          <w:szCs w:val="22"/>
        </w:rPr>
        <w:t>tekstu: Zakonom) i drugim propisima, a koje nisu razvrstane kao javne ceste u smislu zakona kojim se uređuju ceste.</w:t>
      </w:r>
    </w:p>
    <w:p w14:paraId="43CFDB4A" w14:textId="77777777" w:rsidR="001065FA" w:rsidRPr="001065FA" w:rsidRDefault="001065FA" w:rsidP="001065FA">
      <w:pPr>
        <w:pStyle w:val="Default"/>
        <w:jc w:val="both"/>
        <w:rPr>
          <w:rFonts w:asciiTheme="majorHAnsi" w:hAnsiTheme="majorHAnsi" w:cs="Calibri"/>
          <w:sz w:val="22"/>
          <w:szCs w:val="22"/>
        </w:rPr>
      </w:pPr>
      <w:r w:rsidRPr="001065FA">
        <w:rPr>
          <w:rFonts w:asciiTheme="majorHAnsi" w:hAnsiTheme="majorHAnsi" w:cs="Calibri"/>
          <w:b/>
          <w:bCs/>
          <w:sz w:val="22"/>
          <w:szCs w:val="22"/>
        </w:rPr>
        <w:t xml:space="preserve">Pod održavanjem nerazvrstanih cesta </w:t>
      </w:r>
      <w:r w:rsidRPr="001065FA">
        <w:rPr>
          <w:rFonts w:asciiTheme="majorHAnsi" w:hAnsiTheme="majorHAnsi" w:cs="Calibri"/>
          <w:sz w:val="22"/>
          <w:szCs w:val="22"/>
        </w:rPr>
        <w:t>podrazumijeva se skup mjera i radnji koje se obavljaju tijekom cijele godine na nerazvrstanim cestama, uključujući i svu opremu, uređaje i instalacije, sa svrhom održavanja prohodnosti i tehničke ispravnosti cesta i prometne sigurnosti na njima (redovito održavanje), kao i mjestimičnog poboljšanja elemenata ceste, osiguravanja sigurnosti i trajnosti ceste i cestovnih objekata i povećanja sigurnosti prometa (izvanredno održavanje), u skladu sa propisima kojima je uređeno održavanje cesta.</w:t>
      </w:r>
    </w:p>
    <w:p w14:paraId="181C6ECA" w14:textId="77777777" w:rsidR="001065FA" w:rsidRPr="001065FA" w:rsidRDefault="001065FA" w:rsidP="001065FA">
      <w:pPr>
        <w:pStyle w:val="Default"/>
        <w:jc w:val="both"/>
        <w:rPr>
          <w:rFonts w:asciiTheme="majorHAnsi" w:hAnsiTheme="majorHAnsi" w:cs="Calibri"/>
          <w:sz w:val="22"/>
          <w:szCs w:val="22"/>
        </w:rPr>
      </w:pPr>
      <w:r w:rsidRPr="001065FA">
        <w:rPr>
          <w:rFonts w:asciiTheme="majorHAnsi" w:hAnsiTheme="majorHAnsi" w:cs="Calibri"/>
          <w:sz w:val="22"/>
          <w:szCs w:val="22"/>
        </w:rPr>
        <w:t xml:space="preserve">U zimskom razdoblju nerazvrstane ceste na području Ludbrega moraju biti prohodne za prometovanje vozila uz upotrebu zimske opreme, u skladu s posebnim propisom o prometovanju vozila u zimskim uvjetima. </w:t>
      </w:r>
    </w:p>
    <w:p w14:paraId="5C5DEED6" w14:textId="77777777" w:rsidR="001065FA" w:rsidRPr="001065FA" w:rsidRDefault="001065FA" w:rsidP="001065FA">
      <w:pPr>
        <w:pStyle w:val="Default"/>
        <w:jc w:val="center"/>
        <w:rPr>
          <w:rFonts w:asciiTheme="majorHAnsi" w:hAnsiTheme="majorHAnsi" w:cs="Calibri"/>
          <w:b/>
          <w:bCs/>
          <w:sz w:val="22"/>
          <w:szCs w:val="22"/>
        </w:rPr>
      </w:pPr>
    </w:p>
    <w:p w14:paraId="1AA07464" w14:textId="77777777" w:rsidR="001065FA" w:rsidRPr="001065FA" w:rsidRDefault="001065FA" w:rsidP="001065FA">
      <w:pPr>
        <w:pStyle w:val="Default"/>
        <w:jc w:val="both"/>
        <w:rPr>
          <w:rFonts w:asciiTheme="majorHAnsi" w:hAnsiTheme="majorHAnsi" w:cs="Calibri"/>
          <w:sz w:val="22"/>
          <w:szCs w:val="22"/>
        </w:rPr>
      </w:pPr>
      <w:r w:rsidRPr="001065FA">
        <w:rPr>
          <w:rFonts w:asciiTheme="majorHAnsi" w:hAnsiTheme="majorHAnsi" w:cs="Calibri"/>
          <w:b/>
          <w:bCs/>
          <w:sz w:val="22"/>
          <w:szCs w:val="22"/>
        </w:rPr>
        <w:t xml:space="preserve">Pod održavanjem javnih površina na kojima nije dopušten promet motornih vozila </w:t>
      </w:r>
      <w:r w:rsidRPr="001065FA">
        <w:rPr>
          <w:rFonts w:asciiTheme="majorHAnsi" w:hAnsiTheme="majorHAnsi" w:cs="Calibri"/>
          <w:sz w:val="22"/>
          <w:szCs w:val="22"/>
        </w:rPr>
        <w:t xml:space="preserve">podrazumijeva se održavanje i popravci tih površina kojima se osigurava njihova funkcionalna ispravnost. </w:t>
      </w:r>
    </w:p>
    <w:p w14:paraId="189DE258" w14:textId="77777777" w:rsidR="001065FA" w:rsidRDefault="001065FA" w:rsidP="001065FA">
      <w:pPr>
        <w:pStyle w:val="Default"/>
        <w:jc w:val="both"/>
        <w:rPr>
          <w:rFonts w:asciiTheme="majorHAnsi" w:hAnsiTheme="majorHAnsi" w:cs="Calibri"/>
          <w:sz w:val="22"/>
          <w:szCs w:val="22"/>
        </w:rPr>
      </w:pPr>
      <w:r w:rsidRPr="001065FA">
        <w:rPr>
          <w:rFonts w:asciiTheme="majorHAnsi" w:hAnsiTheme="majorHAnsi" w:cs="Calibri"/>
          <w:b/>
          <w:bCs/>
          <w:sz w:val="22"/>
          <w:szCs w:val="22"/>
        </w:rPr>
        <w:t xml:space="preserve">Održavanje javnih prometnih površina na kojima nije dozvoljen promet motornih vozila </w:t>
      </w:r>
      <w:r w:rsidRPr="001065FA">
        <w:rPr>
          <w:rFonts w:asciiTheme="majorHAnsi" w:hAnsiTheme="majorHAnsi" w:cs="Calibri"/>
          <w:sz w:val="22"/>
          <w:szCs w:val="22"/>
        </w:rPr>
        <w:t xml:space="preserve">podrazumijeva održavanje trgova, pločnika, prečaca, šetališta, biciklističkih i pješačkih staza, </w:t>
      </w:r>
      <w:r w:rsidRPr="001065FA">
        <w:rPr>
          <w:rFonts w:asciiTheme="majorHAnsi" w:hAnsiTheme="majorHAnsi" w:cs="Calibri"/>
          <w:sz w:val="22"/>
          <w:szCs w:val="22"/>
        </w:rPr>
        <w:lastRenderedPageBreak/>
        <w:t>prilaza i drugih prometnih površina na kojima nije dopušten promet motornih vozila, a nisu sastavni dio nerazvrstane ili druge ceste, a obuhvaća poslove redovitog održavanja.</w:t>
      </w:r>
    </w:p>
    <w:p w14:paraId="2768881F" w14:textId="77777777" w:rsidR="001065FA" w:rsidRPr="001065FA" w:rsidRDefault="001065FA" w:rsidP="001065FA">
      <w:pPr>
        <w:pStyle w:val="Default"/>
        <w:jc w:val="both"/>
        <w:rPr>
          <w:rFonts w:asciiTheme="majorHAnsi" w:hAnsiTheme="majorHAnsi" w:cs="Calibri"/>
          <w:sz w:val="22"/>
          <w:szCs w:val="22"/>
        </w:rPr>
      </w:pPr>
    </w:p>
    <w:p w14:paraId="7C00FE6A" w14:textId="77777777" w:rsidR="001065FA" w:rsidRDefault="001065FA" w:rsidP="001065FA">
      <w:pPr>
        <w:pStyle w:val="Default"/>
        <w:jc w:val="both"/>
        <w:rPr>
          <w:rFonts w:asciiTheme="majorHAnsi" w:hAnsiTheme="majorHAnsi" w:cs="Calibri"/>
          <w:sz w:val="22"/>
          <w:szCs w:val="22"/>
        </w:rPr>
      </w:pPr>
      <w:r w:rsidRPr="001065FA">
        <w:rPr>
          <w:rFonts w:asciiTheme="majorHAnsi" w:hAnsiTheme="majorHAnsi" w:cs="Calibri"/>
          <w:b/>
          <w:bCs/>
          <w:sz w:val="22"/>
          <w:szCs w:val="22"/>
        </w:rPr>
        <w:t xml:space="preserve">Pod održavanjem građevina javne odvodnje oborinskih voda </w:t>
      </w:r>
      <w:r w:rsidRPr="001065FA">
        <w:rPr>
          <w:rFonts w:asciiTheme="majorHAnsi" w:hAnsiTheme="majorHAnsi" w:cs="Calibri"/>
          <w:sz w:val="22"/>
          <w:szCs w:val="22"/>
        </w:rPr>
        <w:t xml:space="preserve">podrazumijeva se upravljanje i održavanje građevina koje služe prihvatu, odvodnji i ispuštanju oborinskih voda iz građevina i površina javne namjene u građevinskom području, uključujući i građevine koje služe zajedničkom prihvatu, odvodnji i ispuštanju oborinskih i drugih otpadnih voda, osim građevina u vlasništvu javnih isporučitelja vodnih usluga koje, prema posebnim propisima o vodama, služe zajedničkom prihvatu, odvodnji i ispuštanju oborinskih i drugih otpadnih voda, kojima se osigurava njihova funkcionalna ispravnost. </w:t>
      </w:r>
    </w:p>
    <w:p w14:paraId="1CD7F81B" w14:textId="77777777" w:rsidR="001065FA" w:rsidRPr="001065FA" w:rsidRDefault="001065FA" w:rsidP="001065FA">
      <w:pPr>
        <w:pStyle w:val="Default"/>
        <w:jc w:val="both"/>
        <w:rPr>
          <w:rFonts w:asciiTheme="majorHAnsi" w:hAnsiTheme="majorHAnsi" w:cs="Calibri"/>
          <w:sz w:val="22"/>
          <w:szCs w:val="22"/>
        </w:rPr>
      </w:pPr>
    </w:p>
    <w:p w14:paraId="4D2D2E67" w14:textId="77777777" w:rsidR="001065FA" w:rsidRPr="001065FA" w:rsidRDefault="001065FA" w:rsidP="001065FA">
      <w:pPr>
        <w:pStyle w:val="Default"/>
        <w:jc w:val="both"/>
        <w:rPr>
          <w:rFonts w:asciiTheme="majorHAnsi" w:hAnsiTheme="majorHAnsi" w:cs="Calibri"/>
          <w:sz w:val="22"/>
          <w:szCs w:val="22"/>
        </w:rPr>
      </w:pPr>
      <w:r w:rsidRPr="001065FA">
        <w:rPr>
          <w:rFonts w:asciiTheme="majorHAnsi" w:hAnsiTheme="majorHAnsi" w:cs="Calibri"/>
          <w:b/>
          <w:bCs/>
          <w:sz w:val="22"/>
          <w:szCs w:val="22"/>
        </w:rPr>
        <w:t>Javne zelene površine</w:t>
      </w:r>
      <w:r w:rsidRPr="001065FA">
        <w:rPr>
          <w:rFonts w:asciiTheme="majorHAnsi" w:hAnsiTheme="majorHAnsi" w:cs="Calibri"/>
          <w:sz w:val="22"/>
          <w:szCs w:val="22"/>
        </w:rPr>
        <w:t xml:space="preserve"> su parkovi, drvoredi, živice, cvjetnjaci, travnjaci, skupine ili pojedinačna stabla, dječja igrališta s pripadajućom opremom, javni športski i rekreacijski prostori, zelene površine uz ceste i ulice, ako nisu sastavni dio nerazvrstane ili druge ceste odnosno ulice i sl.</w:t>
      </w:r>
    </w:p>
    <w:p w14:paraId="595A1609" w14:textId="77777777" w:rsidR="001065FA" w:rsidRPr="001065FA" w:rsidRDefault="001065FA" w:rsidP="001065FA">
      <w:pPr>
        <w:pStyle w:val="Default"/>
        <w:jc w:val="both"/>
        <w:rPr>
          <w:rFonts w:asciiTheme="majorHAnsi" w:hAnsiTheme="majorHAnsi" w:cs="Calibri"/>
          <w:sz w:val="22"/>
          <w:szCs w:val="22"/>
        </w:rPr>
      </w:pPr>
      <w:r w:rsidRPr="001065FA">
        <w:rPr>
          <w:rFonts w:asciiTheme="majorHAnsi" w:hAnsiTheme="majorHAnsi" w:cs="Calibri"/>
          <w:b/>
          <w:bCs/>
          <w:sz w:val="22"/>
          <w:szCs w:val="22"/>
        </w:rPr>
        <w:t xml:space="preserve">Pod održavanjem javnih zelenih površina </w:t>
      </w:r>
      <w:r w:rsidRPr="001065FA">
        <w:rPr>
          <w:rFonts w:asciiTheme="majorHAnsi" w:hAnsiTheme="majorHAnsi" w:cs="Calibri"/>
          <w:sz w:val="22"/>
          <w:szCs w:val="22"/>
        </w:rPr>
        <w:t xml:space="preserve">podrazumijeva se košnja, obrezivanje i sakupljanje biološkog otpada s javnih zelenih površina, obnova, održavanje i njega drveća, ukrasnog grmlja i drugog bilja, popločenih i nasipanih površina u parkovima, opreme na dječjim igralištima, fitosanitarna zaštita bilja i biljnog materijala za potrebe održavanja i drugi poslovi potrebni za održavanje tih površina kojima se osigurava njihova funkcionalna ispravnost. </w:t>
      </w:r>
    </w:p>
    <w:p w14:paraId="659E5FAC" w14:textId="77777777" w:rsidR="001065FA" w:rsidRPr="001065FA" w:rsidRDefault="001065FA" w:rsidP="001065FA">
      <w:pPr>
        <w:pStyle w:val="Default"/>
        <w:jc w:val="both"/>
        <w:rPr>
          <w:rFonts w:asciiTheme="majorHAnsi" w:hAnsiTheme="majorHAnsi" w:cs="Calibri"/>
          <w:sz w:val="22"/>
          <w:szCs w:val="22"/>
        </w:rPr>
      </w:pPr>
    </w:p>
    <w:p w14:paraId="58E1AF46" w14:textId="0DA0CCA4" w:rsidR="001065FA" w:rsidRPr="001065FA" w:rsidRDefault="001065FA" w:rsidP="001065FA">
      <w:pPr>
        <w:pStyle w:val="Default"/>
        <w:jc w:val="both"/>
        <w:rPr>
          <w:rFonts w:asciiTheme="majorHAnsi" w:hAnsiTheme="majorHAnsi" w:cs="Calibri"/>
          <w:sz w:val="22"/>
          <w:szCs w:val="22"/>
        </w:rPr>
      </w:pPr>
      <w:r w:rsidRPr="001065FA">
        <w:rPr>
          <w:rFonts w:asciiTheme="majorHAnsi" w:hAnsiTheme="majorHAnsi" w:cs="Calibri"/>
          <w:b/>
          <w:bCs/>
          <w:sz w:val="22"/>
          <w:szCs w:val="22"/>
        </w:rPr>
        <w:t>Građevine i uređaji javne namjene</w:t>
      </w:r>
      <w:r w:rsidRPr="001065FA">
        <w:rPr>
          <w:rFonts w:asciiTheme="majorHAnsi" w:hAnsiTheme="majorHAnsi" w:cs="Calibri"/>
          <w:sz w:val="22"/>
          <w:szCs w:val="22"/>
        </w:rPr>
        <w:t xml:space="preserve"> su nadstrešnice na stajalištima javnog prometa, javni zdenci, vodoskoci, fontane, javni zahodi, javni satovi, ploče s planom naselja, oznake kulturnih dobara, zaštićenih dijelova prirode i sadržaja turističke namjene, spomenici i skulpture te druge građevine, uređaji i predmeti javne namjene lokalnog značaja.</w:t>
      </w:r>
    </w:p>
    <w:p w14:paraId="1ECD7075" w14:textId="77777777" w:rsidR="001065FA" w:rsidRDefault="001065FA" w:rsidP="001065FA">
      <w:pPr>
        <w:pStyle w:val="Default"/>
        <w:jc w:val="both"/>
        <w:rPr>
          <w:rFonts w:asciiTheme="majorHAnsi" w:hAnsiTheme="majorHAnsi" w:cs="Calibri"/>
          <w:sz w:val="22"/>
          <w:szCs w:val="22"/>
        </w:rPr>
      </w:pPr>
      <w:r w:rsidRPr="001065FA">
        <w:rPr>
          <w:rFonts w:asciiTheme="majorHAnsi" w:hAnsiTheme="majorHAnsi" w:cs="Calibri"/>
          <w:sz w:val="22"/>
          <w:szCs w:val="22"/>
        </w:rPr>
        <w:t xml:space="preserve">Pod </w:t>
      </w:r>
      <w:r w:rsidRPr="001065FA">
        <w:rPr>
          <w:rFonts w:asciiTheme="majorHAnsi" w:hAnsiTheme="majorHAnsi" w:cs="Calibri"/>
          <w:b/>
          <w:bCs/>
          <w:sz w:val="22"/>
          <w:szCs w:val="22"/>
        </w:rPr>
        <w:t xml:space="preserve">održavanjem građevina i uređaja javne namjene </w:t>
      </w:r>
      <w:r w:rsidRPr="001065FA">
        <w:rPr>
          <w:rFonts w:asciiTheme="majorHAnsi" w:hAnsiTheme="majorHAnsi" w:cs="Calibri"/>
          <w:sz w:val="22"/>
          <w:szCs w:val="22"/>
        </w:rPr>
        <w:t xml:space="preserve">podrazumijeva se održavanje, popravci i čišćenje tih građevina, uređaja i predmeta kojima se osigurava njihova funkcionalna ispravnost. </w:t>
      </w:r>
    </w:p>
    <w:p w14:paraId="1F5E91FB" w14:textId="77777777" w:rsidR="001065FA" w:rsidRPr="001065FA" w:rsidRDefault="001065FA" w:rsidP="001065FA">
      <w:pPr>
        <w:pStyle w:val="Default"/>
        <w:jc w:val="both"/>
        <w:rPr>
          <w:rFonts w:asciiTheme="majorHAnsi" w:hAnsiTheme="majorHAnsi" w:cs="Calibri"/>
          <w:sz w:val="22"/>
          <w:szCs w:val="22"/>
        </w:rPr>
      </w:pPr>
    </w:p>
    <w:p w14:paraId="530CF399" w14:textId="0A131F88" w:rsidR="001065FA" w:rsidRPr="001065FA" w:rsidRDefault="001065FA" w:rsidP="001065FA">
      <w:pPr>
        <w:pStyle w:val="Default"/>
        <w:jc w:val="both"/>
        <w:rPr>
          <w:rFonts w:asciiTheme="majorHAnsi" w:hAnsiTheme="majorHAnsi" w:cs="Calibri"/>
          <w:sz w:val="22"/>
          <w:szCs w:val="22"/>
        </w:rPr>
      </w:pPr>
      <w:r w:rsidRPr="001065FA">
        <w:rPr>
          <w:rFonts w:asciiTheme="majorHAnsi" w:hAnsiTheme="majorHAnsi" w:cs="Calibri"/>
          <w:b/>
          <w:bCs/>
          <w:sz w:val="22"/>
          <w:szCs w:val="22"/>
        </w:rPr>
        <w:t xml:space="preserve">Groblja </w:t>
      </w:r>
      <w:r w:rsidRPr="001065FA">
        <w:rPr>
          <w:rFonts w:asciiTheme="majorHAnsi" w:hAnsiTheme="majorHAnsi" w:cs="Calibri"/>
          <w:sz w:val="22"/>
          <w:szCs w:val="22"/>
        </w:rPr>
        <w:t>su ograđeni prostori zemljišta na kojem se nalaze grobna mjesta, prostori i zgrade za obavljanje ispraćaja i pokopa umrlih (građevine mrtvačnica i krematorija, dvorane za izlaganje na odru, prostorije za ispraćaj umrlih s potrebnom opremom i uređajima), pješačke staze te uređaji, predmeti i oprema na površinama groblja, sukladno posebnim propisima o grobljima.</w:t>
      </w:r>
    </w:p>
    <w:p w14:paraId="60C3E1A0" w14:textId="77777777" w:rsidR="001065FA" w:rsidRPr="001065FA" w:rsidRDefault="001065FA" w:rsidP="001065FA">
      <w:pPr>
        <w:pStyle w:val="Default"/>
        <w:jc w:val="both"/>
        <w:rPr>
          <w:rFonts w:asciiTheme="majorHAnsi" w:hAnsiTheme="majorHAnsi" w:cs="Calibri"/>
          <w:sz w:val="22"/>
          <w:szCs w:val="22"/>
        </w:rPr>
      </w:pPr>
      <w:r w:rsidRPr="001065FA">
        <w:rPr>
          <w:rFonts w:asciiTheme="majorHAnsi" w:hAnsiTheme="majorHAnsi" w:cs="Calibri"/>
          <w:b/>
          <w:bCs/>
          <w:sz w:val="22"/>
          <w:szCs w:val="22"/>
        </w:rPr>
        <w:t xml:space="preserve">Pod održavanjem groblja </w:t>
      </w:r>
      <w:r w:rsidRPr="001065FA">
        <w:rPr>
          <w:rFonts w:asciiTheme="majorHAnsi" w:hAnsiTheme="majorHAnsi" w:cs="Calibri"/>
          <w:sz w:val="22"/>
          <w:szCs w:val="22"/>
        </w:rPr>
        <w:t xml:space="preserve">podrazumijeva se održavanje prostora i zgrada za obavljanje ispraćaja i ukopa pokojnika te uređivanje puteva, zelenih i drugih površina unutar groblja kojima se osigurava njihova funkcionalna ispravnost. </w:t>
      </w:r>
    </w:p>
    <w:p w14:paraId="4F5D5A47" w14:textId="77777777" w:rsidR="001065FA" w:rsidRPr="001065FA" w:rsidRDefault="001065FA" w:rsidP="001065FA">
      <w:pPr>
        <w:pStyle w:val="Default"/>
        <w:jc w:val="both"/>
        <w:rPr>
          <w:rFonts w:asciiTheme="majorHAnsi" w:hAnsiTheme="majorHAnsi" w:cs="Calibri"/>
          <w:sz w:val="22"/>
          <w:szCs w:val="22"/>
        </w:rPr>
      </w:pPr>
    </w:p>
    <w:p w14:paraId="55B39A8E" w14:textId="77777777" w:rsidR="001065FA" w:rsidRPr="001065FA" w:rsidRDefault="001065FA" w:rsidP="001065FA">
      <w:pPr>
        <w:pStyle w:val="Default"/>
        <w:jc w:val="both"/>
        <w:rPr>
          <w:rFonts w:asciiTheme="majorHAnsi" w:hAnsiTheme="majorHAnsi" w:cs="Calibri"/>
          <w:sz w:val="22"/>
          <w:szCs w:val="22"/>
        </w:rPr>
      </w:pPr>
      <w:r w:rsidRPr="001065FA">
        <w:rPr>
          <w:rFonts w:asciiTheme="majorHAnsi" w:hAnsiTheme="majorHAnsi" w:cs="Calibri"/>
          <w:b/>
          <w:bCs/>
          <w:sz w:val="22"/>
          <w:szCs w:val="22"/>
        </w:rPr>
        <w:t>Pod održavanjem čistoće javnih površina</w:t>
      </w:r>
      <w:r w:rsidRPr="001065FA">
        <w:rPr>
          <w:rFonts w:asciiTheme="majorHAnsi" w:hAnsiTheme="majorHAnsi" w:cs="Calibri"/>
          <w:sz w:val="22"/>
          <w:szCs w:val="22"/>
        </w:rPr>
        <w:t xml:space="preserve"> podrazumijeva se čišćenje površina javne namjene, osim javnih cesta, koje obuhvaća ručno i strojno čišćenje i pranje javnih površina od otpada, snijega i leda, kao i postavljanje i čišćenje košarica za otpatke i uklanjanje otpada koje je nepoznata osoba odbacila na javnu površinu ili zemljište u vlasništvu jedinice lokalne samouprave.</w:t>
      </w:r>
    </w:p>
    <w:p w14:paraId="60B1EAB7" w14:textId="77777777" w:rsidR="001065FA" w:rsidRPr="001065FA" w:rsidRDefault="001065FA" w:rsidP="001065FA">
      <w:pPr>
        <w:pStyle w:val="Default"/>
        <w:jc w:val="both"/>
        <w:rPr>
          <w:rFonts w:asciiTheme="majorHAnsi" w:hAnsiTheme="majorHAnsi" w:cs="Calibri"/>
          <w:sz w:val="22"/>
          <w:szCs w:val="22"/>
        </w:rPr>
      </w:pPr>
    </w:p>
    <w:p w14:paraId="65DC7100" w14:textId="2455E0E1" w:rsidR="001065FA" w:rsidRPr="001065FA" w:rsidRDefault="001065FA" w:rsidP="001065FA">
      <w:pPr>
        <w:pStyle w:val="Bezproreda"/>
        <w:jc w:val="both"/>
        <w:rPr>
          <w:rFonts w:asciiTheme="majorHAnsi" w:hAnsiTheme="majorHAnsi"/>
        </w:rPr>
      </w:pPr>
      <w:r w:rsidRPr="001065FA">
        <w:rPr>
          <w:rFonts w:asciiTheme="majorHAnsi" w:hAnsiTheme="majorHAnsi"/>
          <w:b/>
          <w:bCs/>
        </w:rPr>
        <w:t>Javna rasvjeta</w:t>
      </w:r>
      <w:r w:rsidRPr="001065FA">
        <w:rPr>
          <w:rFonts w:asciiTheme="majorHAnsi" w:hAnsiTheme="majorHAnsi"/>
        </w:rPr>
        <w:t xml:space="preserve"> su građevine i uređaji za rasvjetljavanje nerazvrstanih cesta, javnih prometnih površina na kojima nije dopušten promet motornim vozilima, javnih cesta koje prolaze kroz naselje, javnih parkirališta, javnih zelenih površina te drugih javnih površina školskog, zdravstvenog i drugog društvenog značaja u vlasništvu jedinice lokalne samouprave.</w:t>
      </w:r>
    </w:p>
    <w:p w14:paraId="1ED80B24" w14:textId="6B141377" w:rsidR="001065FA" w:rsidRPr="001065FA" w:rsidRDefault="001065FA" w:rsidP="001065FA">
      <w:pPr>
        <w:pStyle w:val="Default"/>
        <w:jc w:val="both"/>
        <w:rPr>
          <w:rFonts w:asciiTheme="majorHAnsi" w:hAnsiTheme="majorHAnsi" w:cs="Calibri"/>
          <w:sz w:val="22"/>
          <w:szCs w:val="22"/>
        </w:rPr>
      </w:pPr>
      <w:r w:rsidRPr="001065FA">
        <w:rPr>
          <w:rFonts w:asciiTheme="majorHAnsi" w:hAnsiTheme="majorHAnsi" w:cs="Calibri"/>
          <w:sz w:val="22"/>
          <w:szCs w:val="22"/>
        </w:rPr>
        <w:t xml:space="preserve">Pod </w:t>
      </w:r>
      <w:r w:rsidRPr="001065FA">
        <w:rPr>
          <w:rFonts w:asciiTheme="majorHAnsi" w:hAnsiTheme="majorHAnsi" w:cs="Calibri"/>
          <w:b/>
          <w:bCs/>
          <w:sz w:val="22"/>
          <w:szCs w:val="22"/>
        </w:rPr>
        <w:t xml:space="preserve">održavanjem javne rasvjete </w:t>
      </w:r>
      <w:r w:rsidRPr="001065FA">
        <w:rPr>
          <w:rFonts w:asciiTheme="majorHAnsi" w:hAnsiTheme="majorHAnsi" w:cs="Calibri"/>
          <w:sz w:val="22"/>
          <w:szCs w:val="22"/>
        </w:rPr>
        <w:t>podrazumijeva se upravljanje i održavanje instalacija javne rasvjete za rasvjetljavanje površina javne namjene, kojima se osigurava njihova funkcionalna ispravnost, uključujući podmirivanje troškova električne energije.</w:t>
      </w:r>
    </w:p>
    <w:p w14:paraId="6130391F" w14:textId="77777777" w:rsidR="001065FA" w:rsidRPr="001065FA" w:rsidRDefault="001065FA" w:rsidP="001065FA">
      <w:pPr>
        <w:autoSpaceDE w:val="0"/>
        <w:autoSpaceDN w:val="0"/>
        <w:adjustRightInd w:val="0"/>
        <w:rPr>
          <w:rFonts w:asciiTheme="majorHAnsi" w:hAnsiTheme="majorHAnsi" w:cs="Calibri"/>
          <w:bCs/>
        </w:rPr>
      </w:pPr>
      <w:r w:rsidRPr="001065FA">
        <w:rPr>
          <w:rFonts w:asciiTheme="majorHAnsi" w:hAnsiTheme="majorHAnsi" w:cs="Calibri"/>
        </w:rPr>
        <w:tab/>
      </w:r>
      <w:r w:rsidRPr="001065FA">
        <w:rPr>
          <w:rFonts w:asciiTheme="majorHAnsi" w:hAnsiTheme="majorHAnsi" w:cs="Calibri"/>
        </w:rPr>
        <w:tab/>
      </w:r>
      <w:r w:rsidRPr="001065FA">
        <w:rPr>
          <w:rFonts w:asciiTheme="majorHAnsi" w:hAnsiTheme="majorHAnsi" w:cs="Calibri"/>
        </w:rPr>
        <w:tab/>
      </w:r>
      <w:r w:rsidRPr="001065FA">
        <w:rPr>
          <w:rFonts w:asciiTheme="majorHAnsi" w:hAnsiTheme="majorHAnsi" w:cs="Calibri"/>
        </w:rPr>
        <w:tab/>
      </w:r>
      <w:r w:rsidRPr="001065FA">
        <w:rPr>
          <w:rFonts w:asciiTheme="majorHAnsi" w:hAnsiTheme="majorHAnsi" w:cs="Calibri"/>
        </w:rPr>
        <w:tab/>
      </w:r>
      <w:r w:rsidRPr="001065FA">
        <w:rPr>
          <w:rFonts w:asciiTheme="majorHAnsi" w:hAnsiTheme="majorHAnsi" w:cs="Calibri"/>
        </w:rPr>
        <w:tab/>
      </w:r>
      <w:r w:rsidRPr="001065FA">
        <w:rPr>
          <w:rFonts w:asciiTheme="majorHAnsi" w:hAnsiTheme="majorHAnsi" w:cs="Calibri"/>
        </w:rPr>
        <w:tab/>
      </w:r>
      <w:r w:rsidRPr="001065FA">
        <w:rPr>
          <w:rFonts w:asciiTheme="majorHAnsi" w:hAnsiTheme="majorHAnsi" w:cs="Calibri"/>
        </w:rPr>
        <w:tab/>
        <w:t xml:space="preserve">              </w:t>
      </w:r>
      <w:r w:rsidRPr="001065FA">
        <w:rPr>
          <w:rFonts w:asciiTheme="majorHAnsi" w:hAnsiTheme="majorHAnsi" w:cs="Calibri"/>
        </w:rPr>
        <w:tab/>
      </w:r>
    </w:p>
    <w:p w14:paraId="120C3A53" w14:textId="474B44AE" w:rsidR="001065FA" w:rsidRPr="001065FA" w:rsidRDefault="001065FA" w:rsidP="001065FA">
      <w:pPr>
        <w:autoSpaceDE w:val="0"/>
        <w:autoSpaceDN w:val="0"/>
        <w:adjustRightInd w:val="0"/>
        <w:rPr>
          <w:rFonts w:asciiTheme="majorHAnsi" w:hAnsiTheme="majorHAnsi" w:cs="Calibri"/>
          <w:bCs/>
        </w:rPr>
      </w:pPr>
      <w:r w:rsidRPr="001065FA">
        <w:rPr>
          <w:rFonts w:asciiTheme="majorHAnsi" w:hAnsiTheme="majorHAnsi" w:cs="Calibri"/>
          <w:bCs/>
        </w:rPr>
        <w:tab/>
      </w:r>
      <w:r w:rsidRPr="001065FA">
        <w:rPr>
          <w:rFonts w:asciiTheme="majorHAnsi" w:hAnsiTheme="majorHAnsi" w:cs="Calibri"/>
          <w:bCs/>
        </w:rPr>
        <w:tab/>
      </w:r>
      <w:r w:rsidRPr="001065FA">
        <w:rPr>
          <w:rFonts w:asciiTheme="majorHAnsi" w:hAnsiTheme="majorHAnsi" w:cs="Calibri"/>
          <w:bCs/>
        </w:rPr>
        <w:tab/>
      </w:r>
      <w:r w:rsidRPr="001065FA">
        <w:rPr>
          <w:rFonts w:asciiTheme="majorHAnsi" w:hAnsiTheme="majorHAnsi" w:cs="Calibri"/>
          <w:bCs/>
        </w:rPr>
        <w:tab/>
      </w:r>
      <w:r w:rsidRPr="001065FA">
        <w:rPr>
          <w:rFonts w:asciiTheme="majorHAnsi" w:hAnsiTheme="majorHAnsi" w:cs="Calibri"/>
          <w:bCs/>
        </w:rPr>
        <w:tab/>
      </w:r>
      <w:r w:rsidRPr="001065FA">
        <w:rPr>
          <w:rFonts w:asciiTheme="majorHAnsi" w:hAnsiTheme="majorHAnsi" w:cs="Calibri"/>
          <w:bCs/>
        </w:rPr>
        <w:tab/>
      </w:r>
      <w:r w:rsidRPr="001065FA">
        <w:rPr>
          <w:rFonts w:asciiTheme="majorHAnsi" w:hAnsiTheme="majorHAnsi" w:cs="Calibri"/>
          <w:bCs/>
        </w:rPr>
        <w:tab/>
      </w:r>
      <w:r w:rsidRPr="001065FA">
        <w:rPr>
          <w:rFonts w:asciiTheme="majorHAnsi" w:hAnsiTheme="majorHAnsi" w:cs="Calibri"/>
          <w:bCs/>
        </w:rPr>
        <w:tab/>
        <w:t xml:space="preserve">          Gradonačelnik Grada Ludbrega</w:t>
      </w:r>
    </w:p>
    <w:p w14:paraId="7A263061" w14:textId="77777777" w:rsidR="001065FA" w:rsidRPr="001065FA" w:rsidRDefault="001065FA" w:rsidP="001065FA">
      <w:pPr>
        <w:autoSpaceDE w:val="0"/>
        <w:autoSpaceDN w:val="0"/>
        <w:adjustRightInd w:val="0"/>
        <w:rPr>
          <w:rFonts w:asciiTheme="majorHAnsi" w:hAnsiTheme="majorHAnsi" w:cs="Calibri"/>
          <w:bCs/>
        </w:rPr>
      </w:pPr>
      <w:r w:rsidRPr="001065FA">
        <w:rPr>
          <w:rFonts w:asciiTheme="majorHAnsi" w:hAnsiTheme="majorHAnsi" w:cs="Calibri"/>
          <w:bCs/>
        </w:rPr>
        <w:tab/>
      </w:r>
      <w:r w:rsidRPr="001065FA">
        <w:rPr>
          <w:rFonts w:asciiTheme="majorHAnsi" w:hAnsiTheme="majorHAnsi" w:cs="Calibri"/>
          <w:bCs/>
        </w:rPr>
        <w:tab/>
      </w:r>
      <w:r w:rsidRPr="001065FA">
        <w:rPr>
          <w:rFonts w:asciiTheme="majorHAnsi" w:hAnsiTheme="majorHAnsi" w:cs="Calibri"/>
          <w:bCs/>
        </w:rPr>
        <w:tab/>
      </w:r>
      <w:r w:rsidRPr="001065FA">
        <w:rPr>
          <w:rFonts w:asciiTheme="majorHAnsi" w:hAnsiTheme="majorHAnsi" w:cs="Calibri"/>
          <w:bCs/>
        </w:rPr>
        <w:tab/>
      </w:r>
      <w:r w:rsidRPr="001065FA">
        <w:rPr>
          <w:rFonts w:asciiTheme="majorHAnsi" w:hAnsiTheme="majorHAnsi" w:cs="Calibri"/>
          <w:bCs/>
        </w:rPr>
        <w:tab/>
      </w:r>
      <w:r w:rsidRPr="001065FA">
        <w:rPr>
          <w:rFonts w:asciiTheme="majorHAnsi" w:hAnsiTheme="majorHAnsi" w:cs="Calibri"/>
          <w:bCs/>
        </w:rPr>
        <w:tab/>
      </w:r>
      <w:r w:rsidRPr="001065FA">
        <w:rPr>
          <w:rFonts w:asciiTheme="majorHAnsi" w:hAnsiTheme="majorHAnsi" w:cs="Calibri"/>
          <w:bCs/>
        </w:rPr>
        <w:tab/>
      </w:r>
      <w:r w:rsidRPr="001065FA">
        <w:rPr>
          <w:rFonts w:asciiTheme="majorHAnsi" w:hAnsiTheme="majorHAnsi" w:cs="Calibri"/>
          <w:bCs/>
        </w:rPr>
        <w:tab/>
      </w:r>
      <w:r w:rsidRPr="001065FA">
        <w:rPr>
          <w:rFonts w:asciiTheme="majorHAnsi" w:hAnsiTheme="majorHAnsi" w:cs="Calibri"/>
          <w:bCs/>
        </w:rPr>
        <w:tab/>
      </w:r>
      <w:r w:rsidRPr="001065FA">
        <w:rPr>
          <w:rFonts w:asciiTheme="majorHAnsi" w:hAnsiTheme="majorHAnsi" w:cs="Calibri"/>
          <w:bCs/>
        </w:rPr>
        <w:tab/>
        <w:t>Dubravko Bilić</w:t>
      </w:r>
    </w:p>
    <w:p w14:paraId="6FDB1A94" w14:textId="77777777" w:rsidR="008C5FE5" w:rsidRDefault="008C5FE5" w:rsidP="00D707B3"/>
    <w:p w14:paraId="53408CE5" w14:textId="71B960E5" w:rsidR="008A562A" w:rsidRDefault="008A562A">
      <w:pPr>
        <w:rPr>
          <w:b/>
        </w:rPr>
      </w:pPr>
    </w:p>
    <w:sectPr w:rsidR="008A562A">
      <w:footerReference w:type="default" r:id="rId9"/>
      <w:pgSz w:w="11906" w:h="16838"/>
      <w:pgMar w:top="1417" w:right="1417" w:bottom="42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421ADF" w14:textId="77777777" w:rsidR="00D64FA9" w:rsidRDefault="00D64FA9" w:rsidP="001065FA">
      <w:r>
        <w:separator/>
      </w:r>
    </w:p>
  </w:endnote>
  <w:endnote w:type="continuationSeparator" w:id="0">
    <w:p w14:paraId="6D408E73" w14:textId="77777777" w:rsidR="00D64FA9" w:rsidRDefault="00D64FA9" w:rsidP="001065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Tahoma">
    <w:panose1 w:val="020B0604030504040204"/>
    <w:charset w:val="EE"/>
    <w:family w:val="swiss"/>
    <w:pitch w:val="variable"/>
    <w:sig w:usb0="E1002EFF" w:usb1="C000605B" w:usb2="00000029" w:usb3="00000000" w:csb0="000101FF" w:csb1="00000000"/>
  </w:font>
  <w:font w:name="PDF417x">
    <w:panose1 w:val="02000000000000000000"/>
    <w:charset w:val="00"/>
    <w:family w:val="auto"/>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ArialMT">
    <w:altName w:val="Arial"/>
    <w:panose1 w:val="00000000000000000000"/>
    <w:charset w:val="80"/>
    <w:family w:val="auto"/>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Bold">
    <w:altName w:val="Arial"/>
    <w:panose1 w:val="00000000000000000000"/>
    <w:charset w:val="00"/>
    <w:family w:val="swiss"/>
    <w:notTrueType/>
    <w:pitch w:val="default"/>
    <w:sig w:usb0="00000003" w:usb1="00000000" w:usb2="00000000" w:usb3="00000000" w:csb0="00000001"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2115650"/>
      <w:docPartObj>
        <w:docPartGallery w:val="Page Numbers (Bottom of Page)"/>
        <w:docPartUnique/>
      </w:docPartObj>
    </w:sdtPr>
    <w:sdtContent>
      <w:p w14:paraId="61F71D44" w14:textId="5D2E845F" w:rsidR="001065FA" w:rsidRDefault="001065FA">
        <w:pPr>
          <w:pStyle w:val="Podnoje"/>
          <w:jc w:val="center"/>
        </w:pPr>
        <w:r>
          <w:fldChar w:fldCharType="begin"/>
        </w:r>
        <w:r>
          <w:instrText>PAGE   \* MERGEFORMAT</w:instrText>
        </w:r>
        <w:r>
          <w:fldChar w:fldCharType="separate"/>
        </w:r>
        <w:r>
          <w:t>2</w:t>
        </w:r>
        <w:r>
          <w:fldChar w:fldCharType="end"/>
        </w:r>
      </w:p>
    </w:sdtContent>
  </w:sdt>
  <w:p w14:paraId="3B01B2E3" w14:textId="77777777" w:rsidR="001065FA" w:rsidRDefault="001065FA">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B0527B" w14:textId="77777777" w:rsidR="00D64FA9" w:rsidRDefault="00D64FA9" w:rsidP="001065FA">
      <w:r>
        <w:separator/>
      </w:r>
    </w:p>
  </w:footnote>
  <w:footnote w:type="continuationSeparator" w:id="0">
    <w:p w14:paraId="0730E475" w14:textId="77777777" w:rsidR="00D64FA9" w:rsidRDefault="00D64FA9" w:rsidP="001065F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562A"/>
    <w:rsid w:val="0002609B"/>
    <w:rsid w:val="001065FA"/>
    <w:rsid w:val="001A4545"/>
    <w:rsid w:val="00275B0C"/>
    <w:rsid w:val="00347D72"/>
    <w:rsid w:val="0035026A"/>
    <w:rsid w:val="003C769E"/>
    <w:rsid w:val="003E5D63"/>
    <w:rsid w:val="003F65C1"/>
    <w:rsid w:val="00414C3A"/>
    <w:rsid w:val="00427683"/>
    <w:rsid w:val="004D04BA"/>
    <w:rsid w:val="005027A2"/>
    <w:rsid w:val="00504E6E"/>
    <w:rsid w:val="005C5F12"/>
    <w:rsid w:val="00611EDF"/>
    <w:rsid w:val="00637B8F"/>
    <w:rsid w:val="00693AB1"/>
    <w:rsid w:val="00774583"/>
    <w:rsid w:val="007E29F2"/>
    <w:rsid w:val="008465C8"/>
    <w:rsid w:val="00856781"/>
    <w:rsid w:val="008A562A"/>
    <w:rsid w:val="008B2AAC"/>
    <w:rsid w:val="008C5FE5"/>
    <w:rsid w:val="008E53A0"/>
    <w:rsid w:val="00937F93"/>
    <w:rsid w:val="009B7A12"/>
    <w:rsid w:val="00A836D0"/>
    <w:rsid w:val="00AC35DA"/>
    <w:rsid w:val="00B92D0F"/>
    <w:rsid w:val="00BF0FC5"/>
    <w:rsid w:val="00C12105"/>
    <w:rsid w:val="00C9578C"/>
    <w:rsid w:val="00D07FBD"/>
    <w:rsid w:val="00D110CF"/>
    <w:rsid w:val="00D419CF"/>
    <w:rsid w:val="00D64FA9"/>
    <w:rsid w:val="00D707B3"/>
    <w:rsid w:val="00E415CF"/>
    <w:rsid w:val="00E55405"/>
    <w:rsid w:val="00EB66E4"/>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612B23"/>
  <w15:docId w15:val="{7E9C13B6-BB92-4001-B652-D4CCA20A8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paragraph" w:styleId="Naslov2">
    <w:name w:val="heading 2"/>
    <w:basedOn w:val="Normal"/>
    <w:next w:val="Normal"/>
    <w:link w:val="Naslov2Char"/>
    <w:qFormat/>
    <w:rsid w:val="001065FA"/>
    <w:pPr>
      <w:keepNext/>
      <w:jc w:val="center"/>
      <w:outlineLvl w:val="1"/>
    </w:pPr>
    <w:rPr>
      <w:rFonts w:ascii="Times New Roman" w:eastAsia="Arial Unicode MS" w:hAnsi="Times New Roman" w:cs="Times New Roman"/>
      <w:b/>
      <w:bCs/>
      <w:noProof w:val="0"/>
      <w:sz w:val="24"/>
      <w:szCs w:val="24"/>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styleId="Reetkatablice">
    <w:name w:val="Table Grid"/>
    <w:basedOn w:val="Obinatablica"/>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balonia">
    <w:name w:val="Balloon Text"/>
    <w:basedOn w:val="Normal"/>
    <w:link w:val="TekstbaloniaChar"/>
    <w:uiPriority w:val="99"/>
    <w:semiHidden/>
    <w:unhideWhenUsed/>
    <w:rPr>
      <w:rFonts w:ascii="Tahoma" w:hAnsi="Tahoma" w:cs="Tahoma"/>
      <w:sz w:val="16"/>
      <w:szCs w:val="16"/>
    </w:rPr>
  </w:style>
  <w:style w:type="character" w:customStyle="1" w:styleId="TekstbaloniaChar">
    <w:name w:val="Tekst balončića Char"/>
    <w:basedOn w:val="Zadanifontodlomka"/>
    <w:link w:val="Tekstbalonia"/>
    <w:uiPriority w:val="99"/>
    <w:semiHidden/>
    <w:rPr>
      <w:rFonts w:ascii="Tahoma" w:hAnsi="Tahoma" w:cs="Tahoma"/>
      <w:sz w:val="16"/>
      <w:szCs w:val="16"/>
    </w:rPr>
  </w:style>
  <w:style w:type="character" w:styleId="Hiperveza">
    <w:name w:val="Hyperlink"/>
    <w:basedOn w:val="Zadanifontodlomka"/>
    <w:uiPriority w:val="99"/>
    <w:semiHidden/>
    <w:unhideWhenUsed/>
    <w:rPr>
      <w:color w:val="0000FF"/>
      <w:u w:val="single"/>
    </w:rPr>
  </w:style>
  <w:style w:type="table" w:customStyle="1" w:styleId="TableGrid1">
    <w:name w:val="Table Grid1"/>
    <w:basedOn w:val="Obinatablica"/>
    <w:next w:val="Reetkatablice"/>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slov2Char">
    <w:name w:val="Naslov 2 Char"/>
    <w:basedOn w:val="Zadanifontodlomka"/>
    <w:link w:val="Naslov2"/>
    <w:rsid w:val="001065FA"/>
    <w:rPr>
      <w:rFonts w:ascii="Times New Roman" w:eastAsia="Arial Unicode MS" w:hAnsi="Times New Roman" w:cs="Times New Roman"/>
      <w:b/>
      <w:bCs/>
      <w:sz w:val="24"/>
      <w:szCs w:val="24"/>
      <w:lang w:eastAsia="hr-HR"/>
    </w:rPr>
  </w:style>
  <w:style w:type="paragraph" w:customStyle="1" w:styleId="Standard">
    <w:name w:val="Standard"/>
    <w:rsid w:val="001065FA"/>
    <w:pPr>
      <w:autoSpaceDE w:val="0"/>
      <w:autoSpaceDN w:val="0"/>
      <w:adjustRightInd w:val="0"/>
    </w:pPr>
    <w:rPr>
      <w:rFonts w:ascii="Times New Roman" w:eastAsia="Times New Roman" w:hAnsi="Times New Roman" w:cs="Times New Roman"/>
      <w:sz w:val="20"/>
      <w:szCs w:val="24"/>
      <w:lang w:eastAsia="hr-HR"/>
    </w:rPr>
  </w:style>
  <w:style w:type="character" w:styleId="Naglaeno">
    <w:name w:val="Strong"/>
    <w:basedOn w:val="Zadanifontodlomka"/>
    <w:uiPriority w:val="22"/>
    <w:qFormat/>
    <w:rsid w:val="001065FA"/>
    <w:rPr>
      <w:b/>
      <w:bCs/>
    </w:rPr>
  </w:style>
  <w:style w:type="paragraph" w:customStyle="1" w:styleId="Default">
    <w:name w:val="Default"/>
    <w:rsid w:val="001065FA"/>
    <w:pPr>
      <w:autoSpaceDE w:val="0"/>
      <w:autoSpaceDN w:val="0"/>
      <w:adjustRightInd w:val="0"/>
    </w:pPr>
    <w:rPr>
      <w:rFonts w:ascii="Times New Roman" w:eastAsia="Calibri" w:hAnsi="Times New Roman" w:cs="Times New Roman"/>
      <w:color w:val="000000"/>
      <w:sz w:val="24"/>
      <w:szCs w:val="24"/>
      <w:lang w:eastAsia="hr-HR"/>
    </w:rPr>
  </w:style>
  <w:style w:type="paragraph" w:styleId="Bezproreda">
    <w:name w:val="No Spacing"/>
    <w:basedOn w:val="Normal"/>
    <w:rsid w:val="001065FA"/>
    <w:pPr>
      <w:suppressAutoHyphens/>
      <w:autoSpaceDN w:val="0"/>
      <w:textAlignment w:val="baseline"/>
    </w:pPr>
    <w:rPr>
      <w:rFonts w:ascii="Calibri" w:eastAsia="Calibri" w:hAnsi="Calibri" w:cs="Calibri"/>
      <w:noProof w:val="0"/>
      <w:lang w:eastAsia="hr-HR"/>
    </w:rPr>
  </w:style>
  <w:style w:type="paragraph" w:styleId="Tijeloteksta2">
    <w:name w:val="Body Text 2"/>
    <w:basedOn w:val="Normal"/>
    <w:link w:val="Tijeloteksta2Char"/>
    <w:semiHidden/>
    <w:rsid w:val="001065FA"/>
    <w:pPr>
      <w:jc w:val="center"/>
    </w:pPr>
    <w:rPr>
      <w:rFonts w:ascii="Times New Roman" w:eastAsia="Times New Roman" w:hAnsi="Times New Roman" w:cs="Times New Roman"/>
      <w:b/>
      <w:bCs/>
      <w:noProof w:val="0"/>
      <w:sz w:val="24"/>
      <w:szCs w:val="24"/>
      <w:lang w:eastAsia="hr-HR"/>
    </w:rPr>
  </w:style>
  <w:style w:type="character" w:customStyle="1" w:styleId="Tijeloteksta2Char">
    <w:name w:val="Tijelo teksta 2 Char"/>
    <w:basedOn w:val="Zadanifontodlomka"/>
    <w:link w:val="Tijeloteksta2"/>
    <w:semiHidden/>
    <w:rsid w:val="001065FA"/>
    <w:rPr>
      <w:rFonts w:ascii="Times New Roman" w:eastAsia="Times New Roman" w:hAnsi="Times New Roman" w:cs="Times New Roman"/>
      <w:b/>
      <w:bCs/>
      <w:sz w:val="24"/>
      <w:szCs w:val="24"/>
      <w:lang w:eastAsia="hr-HR"/>
    </w:rPr>
  </w:style>
  <w:style w:type="paragraph" w:styleId="Zaglavlje">
    <w:name w:val="header"/>
    <w:basedOn w:val="Normal"/>
    <w:link w:val="ZaglavljeChar"/>
    <w:uiPriority w:val="99"/>
    <w:unhideWhenUsed/>
    <w:rsid w:val="001065FA"/>
    <w:pPr>
      <w:tabs>
        <w:tab w:val="center" w:pos="4536"/>
        <w:tab w:val="right" w:pos="9072"/>
      </w:tabs>
    </w:pPr>
  </w:style>
  <w:style w:type="character" w:customStyle="1" w:styleId="ZaglavljeChar">
    <w:name w:val="Zaglavlje Char"/>
    <w:basedOn w:val="Zadanifontodlomka"/>
    <w:link w:val="Zaglavlje"/>
    <w:uiPriority w:val="99"/>
    <w:rsid w:val="001065FA"/>
    <w:rPr>
      <w:noProof/>
    </w:rPr>
  </w:style>
  <w:style w:type="paragraph" w:styleId="Podnoje">
    <w:name w:val="footer"/>
    <w:basedOn w:val="Normal"/>
    <w:link w:val="PodnojeChar"/>
    <w:uiPriority w:val="99"/>
    <w:unhideWhenUsed/>
    <w:rsid w:val="001065FA"/>
    <w:pPr>
      <w:tabs>
        <w:tab w:val="center" w:pos="4536"/>
        <w:tab w:val="right" w:pos="9072"/>
      </w:tabs>
    </w:pPr>
  </w:style>
  <w:style w:type="character" w:customStyle="1" w:styleId="PodnojeChar">
    <w:name w:val="Podnožje Char"/>
    <w:basedOn w:val="Zadanifontodlomka"/>
    <w:link w:val="Podnoje"/>
    <w:uiPriority w:val="99"/>
    <w:rsid w:val="001065FA"/>
    <w:rPr>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9716571">
      <w:bodyDiv w:val="1"/>
      <w:marLeft w:val="0"/>
      <w:marRight w:val="0"/>
      <w:marTop w:val="0"/>
      <w:marBottom w:val="0"/>
      <w:divBdr>
        <w:top w:val="none" w:sz="0" w:space="0" w:color="auto"/>
        <w:left w:val="none" w:sz="0" w:space="0" w:color="auto"/>
        <w:bottom w:val="none" w:sz="0" w:space="0" w:color="auto"/>
        <w:right w:val="none" w:sz="0" w:space="0" w:color="auto"/>
      </w:divBdr>
    </w:div>
    <w:div w:id="1191338269">
      <w:bodyDiv w:val="1"/>
      <w:marLeft w:val="0"/>
      <w:marRight w:val="0"/>
      <w:marTop w:val="0"/>
      <w:marBottom w:val="0"/>
      <w:divBdr>
        <w:top w:val="none" w:sz="0" w:space="0" w:color="auto"/>
        <w:left w:val="none" w:sz="0" w:space="0" w:color="auto"/>
        <w:bottom w:val="none" w:sz="0" w:space="0" w:color="auto"/>
        <w:right w:val="none" w:sz="0" w:space="0" w:color="auto"/>
      </w:divBdr>
    </w:div>
    <w:div w:id="1268467025">
      <w:bodyDiv w:val="1"/>
      <w:marLeft w:val="0"/>
      <w:marRight w:val="0"/>
      <w:marTop w:val="0"/>
      <w:marBottom w:val="0"/>
      <w:divBdr>
        <w:top w:val="none" w:sz="0" w:space="0" w:color="auto"/>
        <w:left w:val="none" w:sz="0" w:space="0" w:color="auto"/>
        <w:bottom w:val="none" w:sz="0" w:space="0" w:color="auto"/>
        <w:right w:val="none" w:sz="0" w:space="0" w:color="auto"/>
      </w:divBdr>
    </w:div>
    <w:div w:id="1460034233">
      <w:bodyDiv w:val="1"/>
      <w:marLeft w:val="0"/>
      <w:marRight w:val="0"/>
      <w:marTop w:val="0"/>
      <w:marBottom w:val="0"/>
      <w:divBdr>
        <w:top w:val="none" w:sz="0" w:space="0" w:color="auto"/>
        <w:left w:val="none" w:sz="0" w:space="0" w:color="auto"/>
        <w:bottom w:val="none" w:sz="0" w:space="0" w:color="auto"/>
        <w:right w:val="none" w:sz="0" w:space="0" w:color="auto"/>
      </w:divBdr>
    </w:div>
    <w:div w:id="1621179750">
      <w:bodyDiv w:val="1"/>
      <w:marLeft w:val="0"/>
      <w:marRight w:val="0"/>
      <w:marTop w:val="0"/>
      <w:marBottom w:val="0"/>
      <w:divBdr>
        <w:top w:val="none" w:sz="0" w:space="0" w:color="auto"/>
        <w:left w:val="none" w:sz="0" w:space="0" w:color="auto"/>
        <w:bottom w:val="none" w:sz="0" w:space="0" w:color="auto"/>
        <w:right w:val="none" w:sz="0" w:space="0" w:color="auto"/>
      </w:divBdr>
    </w:div>
    <w:div w:id="1633826141">
      <w:bodyDiv w:val="1"/>
      <w:marLeft w:val="0"/>
      <w:marRight w:val="0"/>
      <w:marTop w:val="0"/>
      <w:marBottom w:val="0"/>
      <w:divBdr>
        <w:top w:val="none" w:sz="0" w:space="0" w:color="auto"/>
        <w:left w:val="none" w:sz="0" w:space="0" w:color="auto"/>
        <w:bottom w:val="none" w:sz="0" w:space="0" w:color="auto"/>
        <w:right w:val="none" w:sz="0" w:space="0" w:color="auto"/>
      </w:divBdr>
    </w:div>
    <w:div w:id="1803032701">
      <w:bodyDiv w:val="1"/>
      <w:marLeft w:val="0"/>
      <w:marRight w:val="0"/>
      <w:marTop w:val="0"/>
      <w:marBottom w:val="0"/>
      <w:divBdr>
        <w:top w:val="none" w:sz="0" w:space="0" w:color="auto"/>
        <w:left w:val="none" w:sz="0" w:space="0" w:color="auto"/>
        <w:bottom w:val="none" w:sz="0" w:space="0" w:color="auto"/>
        <w:right w:val="none" w:sz="0" w:space="0" w:color="auto"/>
      </w:divBdr>
    </w:div>
    <w:div w:id="2067560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usinfo.hr/zakonodavstvo/zakon-o-izmjenama-i-dopunama-zakona-o-komunalnom-gospodarstvu-5"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w="http://schemas.openxmlformats.org/wordprocessingml/2006/main" xmlns:r="http://schemas.openxmlformats.org/officeDocument/2006/relationships" xmlns:m="http://schemas.openxmlformats.org/officeDocument/2006/math" xmlns:sl="http://schemas.openxmlformats.org/schemaLibrary/2006/main" xmlns:w15="http://schemas.microsoft.com/office/word/2012/wordml" xmlns:w14="http://schemas.microsoft.com/office/word/2010/wordml" xmlns:mc="http://schemas.openxmlformats.org/markup-compatibility/2006" xmlns:wp="http://schemas.openxmlformats.org/drawingml/2006/wordprocessingDrawing" xmlns:a="http://schemas.openxmlformats.org/drawingml/2006/main" xmlns:wp14="http://schemas.microsoft.com/office/word/2010/wordprocessingDrawing" xmlns:a14="http://schemas.microsoft.com/office/drawing/2010/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XSL" StyleName="APA"/>
</file>

<file path=customXml/itemProps1.xml><?xml version="1.0" encoding="utf-8"?>
<ds:datastoreItem xmlns:ds="http://schemas.openxmlformats.org/officeDocument/2006/customXml" ds:itemID="{6F90C402-595A-4E38-B80E-0F46F237F9B1}">
  <ds:schemaRefs>
    <ds:schemaRef ds:uri="http://schemas.openxmlformats.org/wordprocessingml/2006/main"/>
    <ds:schemaRef ds:uri="http://schemas.openxmlformats.org/officeDocument/2006/relationships"/>
    <ds:schemaRef ds:uri="http://schemas.openxmlformats.org/officeDocument/2006/math"/>
    <ds:schemaRef ds:uri="http://schemas.openxmlformats.org/schemaLibrary/2006/main"/>
    <ds:schemaRef ds:uri="http://schemas.microsoft.com/office/word/2012/wordml"/>
    <ds:schemaRef ds:uri="http://schemas.microsoft.com/office/word/2010/wordml"/>
    <ds:schemaRef ds:uri="http://schemas.openxmlformats.org/markup-compatibility/2006"/>
    <ds:schemaRef ds:uri="http://schemas.openxmlformats.org/drawingml/2006/wordprocessingDrawing"/>
    <ds:schemaRef ds:uri="http://schemas.openxmlformats.org/drawingml/2006/main"/>
    <ds:schemaRef ds:uri="http://schemas.microsoft.com/office/word/2010/wordprocessingDrawing"/>
    <ds:schemaRef ds:uri="http://schemas.microsoft.com/office/drawing/2010/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office:excel"/>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1248</Words>
  <Characters>7120</Characters>
  <Application>Microsoft Office Word</Application>
  <DocSecurity>0</DocSecurity>
  <Lines>59</Lines>
  <Paragraphs>16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DarkoC</dc:creator>
  <cp:lastModifiedBy>Tajnica</cp:lastModifiedBy>
  <cp:revision>2</cp:revision>
  <cp:lastPrinted>2014-11-26T14:09:00Z</cp:lastPrinted>
  <dcterms:created xsi:type="dcterms:W3CDTF">2026-07-23T07:26:00Z</dcterms:created>
  <dcterms:modified xsi:type="dcterms:W3CDTF">2026-07-23T07:26:00Z</dcterms:modified>
</cp:coreProperties>
</file>